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napToGrid w:val="0"/>
        <w:spacing w:before="120" w:line="240" w:lineRule="auto"/>
        <w:ind w:firstLine="0" w:firstLineChars="0"/>
        <w:jc w:val="distribute"/>
        <w:rPr>
          <w:b/>
          <w:color w:val="000000" w:themeColor="text1"/>
          <w:sz w:val="30"/>
          <w:szCs w:val="30"/>
          <w14:textFill>
            <w14:solidFill>
              <w14:schemeClr w14:val="tx1"/>
            </w14:solidFill>
          </w14:textFill>
        </w:rPr>
      </w:pPr>
    </w:p>
    <w:p>
      <w:pPr>
        <w:pStyle w:val="31"/>
        <w:snapToGrid w:val="0"/>
        <w:spacing w:before="120" w:line="240" w:lineRule="auto"/>
        <w:ind w:firstLine="0" w:firstLineChars="0"/>
        <w:rPr>
          <w:b/>
          <w:color w:val="000000" w:themeColor="text1"/>
          <w:sz w:val="30"/>
          <w:szCs w:val="30"/>
          <w14:textFill>
            <w14:solidFill>
              <w14:schemeClr w14:val="tx1"/>
            </w14:solidFill>
          </w14:textFill>
        </w:rPr>
      </w:pPr>
    </w:p>
    <w:p>
      <w:pPr>
        <w:snapToGrid w:val="0"/>
        <w:spacing w:before="120" w:line="240" w:lineRule="auto"/>
        <w:ind w:firstLine="602"/>
        <w:jc w:val="center"/>
        <w:rPr>
          <w:b/>
          <w:color w:val="000000" w:themeColor="text1"/>
          <w:sz w:val="30"/>
          <w:szCs w:val="30"/>
          <w14:textFill>
            <w14:solidFill>
              <w14:schemeClr w14:val="tx1"/>
            </w14:solidFill>
          </w14:textFill>
        </w:rPr>
      </w:pPr>
    </w:p>
    <w:p>
      <w:pPr>
        <w:snapToGrid w:val="0"/>
        <w:spacing w:before="120" w:line="240" w:lineRule="auto"/>
        <w:ind w:firstLine="602"/>
        <w:jc w:val="center"/>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 xml:space="preserve"> </w:t>
      </w:r>
    </w:p>
    <w:p>
      <w:pPr>
        <w:pStyle w:val="2"/>
        <w:spacing w:before="240"/>
        <w:rPr>
          <w:sz w:val="40"/>
          <w:szCs w:val="48"/>
        </w:rPr>
      </w:pPr>
      <w:bookmarkStart w:id="0" w:name="_Toc91170803"/>
      <w:bookmarkStart w:id="1" w:name="_Toc89781453"/>
      <w:bookmarkStart w:id="2" w:name="_Toc91712357"/>
      <w:bookmarkStart w:id="3" w:name="_Toc98228795"/>
      <w:bookmarkStart w:id="4" w:name="_Toc91749984"/>
      <w:bookmarkStart w:id="5" w:name="_Toc101686452"/>
      <w:bookmarkStart w:id="6" w:name="_Toc101558074"/>
      <w:bookmarkStart w:id="7" w:name="_Toc101430485"/>
      <w:bookmarkStart w:id="8" w:name="_Toc95982878"/>
      <w:bookmarkStart w:id="9" w:name="_Toc98246792"/>
      <w:bookmarkStart w:id="10" w:name="_Toc100676560"/>
      <w:bookmarkStart w:id="11" w:name="_Toc101260897"/>
      <w:bookmarkStart w:id="12" w:name="_Toc100759062"/>
      <w:bookmarkStart w:id="13" w:name="_Toc91170065"/>
      <w:bookmarkStart w:id="14" w:name="_Toc90971726"/>
      <w:r>
        <w:rPr>
          <w:rFonts w:hint="eastAsia"/>
          <w:sz w:val="40"/>
          <w:szCs w:val="48"/>
        </w:rPr>
        <w:t>衢州市区保障性租赁住房“十四五”专项规划及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2"/>
        <w:spacing w:before="240"/>
        <w:rPr>
          <w:sz w:val="40"/>
          <w:szCs w:val="48"/>
        </w:rPr>
      </w:pPr>
      <w:bookmarkStart w:id="15" w:name="_Toc101260898"/>
      <w:bookmarkStart w:id="16" w:name="_Toc100759063"/>
      <w:bookmarkStart w:id="17" w:name="_Toc91712358"/>
      <w:bookmarkStart w:id="18" w:name="_Toc91170804"/>
      <w:bookmarkStart w:id="19" w:name="_Toc91170066"/>
      <w:bookmarkStart w:id="20" w:name="_Toc89781454"/>
      <w:bookmarkStart w:id="21" w:name="_Toc90971727"/>
      <w:bookmarkStart w:id="22" w:name="_Toc98228796"/>
      <w:bookmarkStart w:id="23" w:name="_Toc98246793"/>
      <w:bookmarkStart w:id="24" w:name="_Toc100676561"/>
      <w:bookmarkStart w:id="25" w:name="_Toc91749985"/>
      <w:bookmarkStart w:id="26" w:name="_Toc101686453"/>
      <w:bookmarkStart w:id="27" w:name="_Toc95982879"/>
      <w:bookmarkStart w:id="28" w:name="_Toc101558075"/>
      <w:bookmarkStart w:id="29" w:name="_Toc101430486"/>
      <w:r>
        <w:rPr>
          <w:rFonts w:hint="eastAsia"/>
          <w:sz w:val="40"/>
          <w:szCs w:val="48"/>
        </w:rPr>
        <w:t>2022年-2024年三年行动计划</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hint="eastAsia"/>
          <w:sz w:val="40"/>
          <w:szCs w:val="48"/>
        </w:rPr>
        <w:t xml:space="preserve"> </w:t>
      </w:r>
    </w:p>
    <w:p>
      <w:pPr>
        <w:spacing w:before="120"/>
        <w:ind w:firstLine="0" w:firstLineChars="0"/>
        <w:jc w:val="center"/>
        <w:rPr>
          <w:rFonts w:ascii="黑体" w:eastAsia="黑体"/>
          <w:b/>
          <w:color w:val="000000" w:themeColor="text1"/>
          <w:sz w:val="48"/>
          <w:szCs w:val="48"/>
          <w14:textFill>
            <w14:solidFill>
              <w14:schemeClr w14:val="tx1"/>
            </w14:solidFill>
          </w14:textFill>
        </w:rPr>
      </w:pPr>
    </w:p>
    <w:p>
      <w:pPr>
        <w:spacing w:before="120"/>
        <w:ind w:firstLine="0" w:firstLineChars="0"/>
        <w:jc w:val="center"/>
        <w:rPr>
          <w:rFonts w:ascii="黑体" w:eastAsia="黑体"/>
          <w:b/>
          <w:color w:val="000000" w:themeColor="text1"/>
          <w:sz w:val="48"/>
          <w:szCs w:val="48"/>
          <w14:textFill>
            <w14:solidFill>
              <w14:schemeClr w14:val="tx1"/>
            </w14:solidFill>
          </w14:textFill>
        </w:rPr>
      </w:pPr>
    </w:p>
    <w:p>
      <w:pPr>
        <w:spacing w:before="120"/>
        <w:ind w:firstLine="602"/>
        <w:rPr>
          <w:b/>
          <w:color w:val="000000" w:themeColor="text1"/>
          <w:sz w:val="30"/>
          <w:szCs w:val="30"/>
          <w14:textFill>
            <w14:solidFill>
              <w14:schemeClr w14:val="tx1"/>
            </w14:solidFill>
          </w14:textFill>
        </w:rPr>
      </w:pPr>
    </w:p>
    <w:p>
      <w:pPr>
        <w:spacing w:before="120"/>
        <w:ind w:firstLine="602"/>
        <w:rPr>
          <w:b/>
          <w:color w:val="000000" w:themeColor="text1"/>
          <w:sz w:val="30"/>
          <w:szCs w:val="30"/>
          <w14:textFill>
            <w14:solidFill>
              <w14:schemeClr w14:val="tx1"/>
            </w14:solidFill>
          </w14:textFill>
        </w:rPr>
      </w:pPr>
    </w:p>
    <w:p>
      <w:pPr>
        <w:spacing w:before="120"/>
        <w:ind w:firstLine="602"/>
        <w:rPr>
          <w:b/>
          <w:color w:val="000000" w:themeColor="text1"/>
          <w:sz w:val="30"/>
          <w:szCs w:val="30"/>
          <w14:textFill>
            <w14:solidFill>
              <w14:schemeClr w14:val="tx1"/>
            </w14:solidFill>
          </w14:textFill>
        </w:rPr>
      </w:pPr>
    </w:p>
    <w:p>
      <w:pPr>
        <w:spacing w:before="120"/>
        <w:ind w:firstLine="602"/>
        <w:rPr>
          <w:b/>
          <w:color w:val="000000" w:themeColor="text1"/>
          <w:sz w:val="30"/>
          <w:szCs w:val="30"/>
          <w14:textFill>
            <w14:solidFill>
              <w14:schemeClr w14:val="tx1"/>
            </w14:solidFill>
          </w14:textFill>
        </w:rPr>
      </w:pPr>
    </w:p>
    <w:p>
      <w:pPr>
        <w:spacing w:before="120"/>
        <w:ind w:firstLine="602"/>
        <w:rPr>
          <w:b/>
          <w:color w:val="000000" w:themeColor="text1"/>
          <w:sz w:val="30"/>
          <w:szCs w:val="30"/>
          <w14:textFill>
            <w14:solidFill>
              <w14:schemeClr w14:val="tx1"/>
            </w14:solidFill>
          </w14:textFill>
        </w:rPr>
      </w:pPr>
    </w:p>
    <w:p>
      <w:pPr>
        <w:spacing w:before="120"/>
        <w:ind w:firstLine="602"/>
        <w:rPr>
          <w:rFonts w:ascii="黑体" w:hAnsi="黑体" w:eastAsia="黑体"/>
          <w:b/>
          <w:color w:val="000000" w:themeColor="text1"/>
          <w:sz w:val="30"/>
          <w:szCs w:val="30"/>
          <w14:textFill>
            <w14:solidFill>
              <w14:schemeClr w14:val="tx1"/>
            </w14:solidFill>
          </w14:textFill>
        </w:rPr>
      </w:pPr>
    </w:p>
    <w:p>
      <w:pPr>
        <w:spacing w:before="120"/>
        <w:ind w:firstLine="0" w:firstLineChars="0"/>
        <w:rPr>
          <w:rFonts w:ascii="黑体" w:hAnsi="黑体" w:eastAsia="黑体"/>
          <w:b/>
          <w:color w:val="000000" w:themeColor="text1"/>
          <w:sz w:val="30"/>
          <w:szCs w:val="30"/>
          <w14:textFill>
            <w14:solidFill>
              <w14:schemeClr w14:val="tx1"/>
            </w14:solidFill>
          </w14:textFill>
        </w:rPr>
      </w:pPr>
    </w:p>
    <w:p>
      <w:pPr>
        <w:spacing w:before="0" w:beforeLines="0" w:line="360" w:lineRule="auto"/>
        <w:ind w:firstLine="602"/>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衢州市住房和城乡建设局</w:t>
      </w:r>
    </w:p>
    <w:p>
      <w:pPr>
        <w:spacing w:before="0" w:beforeLines="0" w:line="360" w:lineRule="auto"/>
        <w:ind w:firstLine="602"/>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衢州市住房保障和房地产管理服务中心</w:t>
      </w:r>
    </w:p>
    <w:p>
      <w:pPr>
        <w:spacing w:before="0" w:beforeLines="0" w:line="360" w:lineRule="auto"/>
        <w:ind w:firstLine="602"/>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中国城市规划设计研究院</w:t>
      </w:r>
    </w:p>
    <w:p>
      <w:pPr>
        <w:spacing w:before="0" w:beforeLines="0" w:line="360" w:lineRule="auto"/>
        <w:ind w:firstLine="602"/>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2</w:t>
      </w:r>
      <w:r>
        <w:rPr>
          <w:rFonts w:ascii="黑体" w:hAnsi="黑体" w:eastAsia="黑体"/>
          <w:b/>
          <w:color w:val="000000" w:themeColor="text1"/>
          <w:sz w:val="30"/>
          <w:szCs w:val="30"/>
          <w14:textFill>
            <w14:solidFill>
              <w14:schemeClr w14:val="tx1"/>
            </w14:solidFill>
          </w14:textFill>
        </w:rPr>
        <w:t>022</w:t>
      </w:r>
      <w:r>
        <w:rPr>
          <w:rFonts w:hint="eastAsia" w:ascii="黑体" w:hAnsi="黑体" w:eastAsia="黑体"/>
          <w:b/>
          <w:color w:val="000000" w:themeColor="text1"/>
          <w:sz w:val="30"/>
          <w:szCs w:val="30"/>
          <w14:textFill>
            <w14:solidFill>
              <w14:schemeClr w14:val="tx1"/>
            </w14:solidFill>
          </w14:textFill>
        </w:rPr>
        <w:t>年</w:t>
      </w:r>
      <w:r>
        <w:rPr>
          <w:rFonts w:ascii="黑体" w:hAnsi="黑体" w:eastAsia="黑体"/>
          <w:b/>
          <w:color w:val="000000" w:themeColor="text1"/>
          <w:sz w:val="30"/>
          <w:szCs w:val="30"/>
          <w14:textFill>
            <w14:solidFill>
              <w14:schemeClr w14:val="tx1"/>
            </w14:solidFill>
          </w14:textFill>
        </w:rPr>
        <w:t>5</w:t>
      </w:r>
      <w:r>
        <w:rPr>
          <w:rFonts w:hint="eastAsia" w:ascii="黑体" w:hAnsi="黑体" w:eastAsia="黑体"/>
          <w:b/>
          <w:color w:val="000000" w:themeColor="text1"/>
          <w:sz w:val="30"/>
          <w:szCs w:val="30"/>
          <w14:textFill>
            <w14:solidFill>
              <w14:schemeClr w14:val="tx1"/>
            </w14:solidFill>
          </w14:textFill>
        </w:rPr>
        <w:t>月</w:t>
      </w:r>
    </w:p>
    <w:p>
      <w:pPr>
        <w:adjustRightInd w:val="0"/>
        <w:snapToGrid w:val="0"/>
        <w:spacing w:before="0" w:beforeLines="0" w:line="360" w:lineRule="auto"/>
        <w:ind w:firstLine="2780" w:firstLineChars="993"/>
        <w:rPr>
          <w:color w:val="000000" w:themeColor="text1"/>
          <w:sz w:val="28"/>
          <w:szCs w:val="28"/>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2240" w:h="15840"/>
          <w:pgMar w:top="1440" w:right="1800" w:bottom="1440" w:left="1800" w:header="720" w:footer="720" w:gutter="0"/>
          <w:cols w:space="720" w:num="1"/>
        </w:sectPr>
      </w:pPr>
      <w:r>
        <w:rPr>
          <w:color w:val="000000" w:themeColor="text1"/>
          <w:sz w:val="28"/>
          <w:szCs w:val="28"/>
          <w14:textFill>
            <w14:solidFill>
              <w14:schemeClr w14:val="tx1"/>
            </w14:solidFill>
          </w14:textFill>
        </w:rPr>
        <w:br w:type="page"/>
      </w:r>
    </w:p>
    <w:p>
      <w:pPr>
        <w:pStyle w:val="2"/>
        <w:spacing w:before="240"/>
        <w:jc w:val="center"/>
        <w:rPr>
          <w:rFonts w:hint="eastAsia"/>
        </w:rPr>
      </w:pPr>
      <w:bookmarkStart w:id="30" w:name="_Toc90971728"/>
      <w:bookmarkStart w:id="31" w:name="_Toc91170067"/>
      <w:bookmarkStart w:id="32" w:name="_Toc95982880"/>
      <w:bookmarkStart w:id="33" w:name="_Toc100759064"/>
      <w:bookmarkStart w:id="34" w:name="_Toc101686454"/>
      <w:bookmarkStart w:id="35" w:name="_Toc98228797"/>
      <w:bookmarkStart w:id="36" w:name="_Toc91170805"/>
      <w:bookmarkStart w:id="37" w:name="_Toc101430487"/>
      <w:bookmarkStart w:id="38" w:name="_Toc101558076"/>
      <w:bookmarkStart w:id="39" w:name="_Toc101260899"/>
      <w:bookmarkStart w:id="40" w:name="_Toc98246794"/>
      <w:bookmarkStart w:id="41" w:name="_Toc89781455"/>
      <w:bookmarkStart w:id="42" w:name="_Toc91749986"/>
      <w:bookmarkStart w:id="43" w:name="_Toc100676562"/>
      <w:bookmarkStart w:id="44" w:name="_Toc91712359"/>
    </w:p>
    <w:p>
      <w:pPr>
        <w:pStyle w:val="2"/>
        <w:spacing w:before="240"/>
        <w:jc w:val="center"/>
        <w:rPr>
          <w:rFonts w:hint="eastAsia"/>
        </w:rPr>
      </w:pPr>
    </w:p>
    <w:p>
      <w:pPr>
        <w:pStyle w:val="2"/>
        <w:spacing w:before="240"/>
        <w:jc w:val="center"/>
        <w:rPr>
          <w:rFonts w:hint="eastAsia"/>
        </w:rPr>
      </w:pPr>
    </w:p>
    <w:p>
      <w:pPr>
        <w:pStyle w:val="2"/>
        <w:spacing w:before="240"/>
        <w:jc w:val="center"/>
        <w:rPr>
          <w:rFonts w:hint="eastAsia"/>
        </w:rPr>
      </w:pPr>
    </w:p>
    <w:p>
      <w:pPr>
        <w:pStyle w:val="2"/>
        <w:spacing w:before="240"/>
        <w:jc w:val="center"/>
        <w:rPr>
          <w:rFonts w:hint="eastAsia"/>
        </w:rPr>
      </w:pPr>
    </w:p>
    <w:p>
      <w:pPr>
        <w:pStyle w:val="2"/>
        <w:spacing w:before="240"/>
        <w:jc w:val="center"/>
        <w:rPr>
          <w:rFonts w:hint="eastAsia"/>
        </w:rPr>
      </w:pPr>
    </w:p>
    <w:p>
      <w:pPr>
        <w:pStyle w:val="2"/>
        <w:spacing w:before="240"/>
        <w:jc w:val="center"/>
        <w:rPr>
          <w:rFonts w:hint="eastAsia"/>
        </w:rPr>
      </w:pPr>
    </w:p>
    <w:p>
      <w:pPr>
        <w:pStyle w:val="2"/>
        <w:spacing w:before="240"/>
        <w:jc w:val="center"/>
        <w:rPr>
          <w:rFonts w:hint="eastAsia"/>
        </w:rPr>
      </w:pPr>
    </w:p>
    <w:p>
      <w:pPr>
        <w:pStyle w:val="2"/>
        <w:spacing w:before="240"/>
        <w:jc w:val="center"/>
        <w:rPr>
          <w:rFonts w:hint="eastAsia"/>
        </w:rPr>
      </w:pPr>
    </w:p>
    <w:p>
      <w:pPr>
        <w:pStyle w:val="2"/>
        <w:spacing w:before="240"/>
        <w:jc w:val="center"/>
        <w:rPr>
          <w:rFonts w:hint="eastAsia"/>
        </w:rPr>
      </w:pPr>
    </w:p>
    <w:p>
      <w:pPr>
        <w:pStyle w:val="2"/>
        <w:spacing w:before="240"/>
        <w:jc w:val="center"/>
        <w:rPr>
          <w:rFonts w:hint="eastAsia"/>
        </w:rPr>
      </w:pPr>
    </w:p>
    <w:p>
      <w:pPr>
        <w:pStyle w:val="2"/>
        <w:spacing w:before="240"/>
        <w:jc w:val="center"/>
        <w:rPr>
          <w:rFonts w:hint="eastAsia"/>
        </w:rPr>
      </w:pPr>
    </w:p>
    <w:p>
      <w:pPr>
        <w:pStyle w:val="2"/>
        <w:spacing w:before="240"/>
        <w:jc w:val="center"/>
        <w:rPr>
          <w:rFonts w:hint="eastAsia"/>
        </w:rPr>
      </w:pPr>
    </w:p>
    <w:p>
      <w:pPr>
        <w:pStyle w:val="2"/>
        <w:spacing w:before="240"/>
        <w:jc w:val="center"/>
        <w:rPr>
          <w:rFonts w:hint="eastAsia"/>
        </w:rPr>
      </w:pPr>
    </w:p>
    <w:p>
      <w:pPr>
        <w:pStyle w:val="2"/>
        <w:spacing w:before="240"/>
        <w:jc w:val="center"/>
        <w:rPr>
          <w:rFonts w:hint="eastAsia"/>
        </w:rPr>
      </w:pPr>
    </w:p>
    <w:p>
      <w:pPr>
        <w:pStyle w:val="2"/>
        <w:spacing w:before="240"/>
        <w:jc w:val="center"/>
        <w:rPr>
          <w:rFonts w:hint="eastAsia"/>
        </w:rPr>
      </w:pPr>
    </w:p>
    <w:p>
      <w:pPr>
        <w:pStyle w:val="2"/>
        <w:spacing w:before="240"/>
        <w:jc w:val="center"/>
      </w:pPr>
      <w:r>
        <w:rPr>
          <w:rFonts w:hint="eastAsia"/>
        </w:rPr>
        <w:t xml:space="preserve">目 </w:t>
      </w:r>
      <w:r>
        <w:t xml:space="preserve"> </w:t>
      </w:r>
      <w:r>
        <w:rPr>
          <w:rFonts w:hint="eastAsia"/>
        </w:rPr>
        <w:t>录</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cstheme="minorHAnsi"/>
          <w:caps/>
          <w:sz w:val="30"/>
          <w:szCs w:val="30"/>
        </w:rPr>
        <w:fldChar w:fldCharType="begin"/>
      </w:r>
      <w:r>
        <w:instrText xml:space="preserve"> </w:instrText>
      </w:r>
      <w:r>
        <w:rPr>
          <w:rFonts w:hint="eastAsia"/>
        </w:rPr>
        <w:instrText xml:space="preserve">TOC \o "1-2" \h \z \u</w:instrText>
      </w:r>
      <w:r>
        <w:instrText xml:space="preserve"> </w:instrText>
      </w:r>
      <w:r>
        <w:rPr>
          <w:rFonts w:cstheme="minorHAnsi"/>
          <w:caps/>
          <w:sz w:val="30"/>
          <w:szCs w:val="30"/>
        </w:rPr>
        <w:fldChar w:fldCharType="separate"/>
      </w:r>
    </w:p>
    <w:p>
      <w:pPr>
        <w:pStyle w:val="20"/>
        <w:rPr>
          <w:rFonts w:ascii="黑体" w:hAnsi="黑体" w:eastAsia="黑体" w:cstheme="minorBidi"/>
          <w:smallCaps w:val="0"/>
          <w:kern w:val="2"/>
          <w:sz w:val="21"/>
          <w:szCs w:val="22"/>
        </w:rPr>
      </w:pPr>
      <w:r>
        <w:fldChar w:fldCharType="begin"/>
      </w:r>
      <w:r>
        <w:instrText xml:space="preserve"> HYPERLINK \l "_Toc101686457" </w:instrText>
      </w:r>
      <w:r>
        <w:fldChar w:fldCharType="separate"/>
      </w:r>
      <w:r>
        <w:rPr>
          <w:rStyle w:val="26"/>
          <w:rFonts w:hint="eastAsia" w:ascii="黑体" w:hAnsi="黑体" w:eastAsia="黑体"/>
        </w:rPr>
        <w:t>一、规划背景与意义</w:t>
      </w:r>
      <w:r>
        <w:rPr>
          <w:rFonts w:ascii="黑体" w:hAnsi="黑体" w:eastAsia="黑体"/>
        </w:rPr>
        <w:tab/>
      </w:r>
      <w:r>
        <w:rPr>
          <w:rFonts w:ascii="黑体" w:hAnsi="黑体" w:eastAsia="黑体"/>
        </w:rPr>
        <w:fldChar w:fldCharType="begin"/>
      </w:r>
      <w:r>
        <w:rPr>
          <w:rFonts w:ascii="黑体" w:hAnsi="黑体" w:eastAsia="黑体"/>
        </w:rPr>
        <w:instrText xml:space="preserve"> PAGEREF _Toc101686457 \h </w:instrText>
      </w:r>
      <w:r>
        <w:rPr>
          <w:rFonts w:ascii="黑体" w:hAnsi="黑体" w:eastAsia="黑体"/>
        </w:rPr>
        <w:fldChar w:fldCharType="separate"/>
      </w:r>
      <w:r>
        <w:rPr>
          <w:rFonts w:ascii="黑体" w:hAnsi="黑体" w:eastAsia="黑体"/>
        </w:rPr>
        <w:t>2</w:t>
      </w:r>
      <w:r>
        <w:rPr>
          <w:rFonts w:ascii="黑体" w:hAnsi="黑体" w:eastAsia="黑体"/>
        </w:rPr>
        <w:fldChar w:fldCharType="end"/>
      </w:r>
      <w:r>
        <w:rPr>
          <w:rFonts w:ascii="黑体" w:hAnsi="黑体" w:eastAsia="黑体"/>
        </w:rPr>
        <w:fldChar w:fldCharType="end"/>
      </w:r>
    </w:p>
    <w:p>
      <w:pPr>
        <w:pStyle w:val="20"/>
        <w:rPr>
          <w:rFonts w:ascii="仿宋_GB2312" w:cstheme="minorBidi"/>
          <w:smallCaps w:val="0"/>
          <w:kern w:val="2"/>
          <w:sz w:val="21"/>
          <w:szCs w:val="22"/>
        </w:rPr>
      </w:pPr>
      <w:r>
        <w:fldChar w:fldCharType="begin"/>
      </w:r>
      <w:r>
        <w:instrText xml:space="preserve"> HYPERLINK \l "_Toc101686458" </w:instrText>
      </w:r>
      <w:r>
        <w:fldChar w:fldCharType="separate"/>
      </w:r>
      <w:r>
        <w:rPr>
          <w:rStyle w:val="26"/>
          <w:rFonts w:hint="eastAsia" w:ascii="仿宋_GB2312"/>
        </w:rPr>
        <w:t>（一）发展保障性租赁住房是党中央、国务院的重要部署</w:t>
      </w:r>
      <w:r>
        <w:rPr>
          <w:rFonts w:hint="eastAsia" w:ascii="仿宋_GB2312"/>
        </w:rPr>
        <w:tab/>
      </w:r>
      <w:r>
        <w:rPr>
          <w:rFonts w:hint="eastAsia" w:ascii="仿宋_GB2312"/>
        </w:rPr>
        <w:fldChar w:fldCharType="begin"/>
      </w:r>
      <w:r>
        <w:rPr>
          <w:rFonts w:hint="eastAsia" w:ascii="仿宋_GB2312"/>
        </w:rPr>
        <w:instrText xml:space="preserve"> PAGEREF _Toc101686458 \h </w:instrText>
      </w:r>
      <w:r>
        <w:rPr>
          <w:rFonts w:hint="eastAsia" w:ascii="仿宋_GB2312"/>
        </w:rPr>
        <w:fldChar w:fldCharType="separate"/>
      </w:r>
      <w:r>
        <w:rPr>
          <w:rFonts w:ascii="仿宋_GB2312"/>
        </w:rPr>
        <w:t>2</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"_Toc101686459" </w:instrText>
      </w:r>
      <w:r>
        <w:fldChar w:fldCharType="separate"/>
      </w:r>
      <w:r>
        <w:rPr>
          <w:rStyle w:val="26"/>
          <w:rFonts w:hint="eastAsia" w:ascii="仿宋_GB2312"/>
        </w:rPr>
        <w:t>（二）利用存量土地和存量房屋资源建设保障性租赁住房是城市更新行动的重要组成</w:t>
      </w:r>
      <w:r>
        <w:rPr>
          <w:rFonts w:hint="eastAsia" w:ascii="仿宋_GB2312"/>
        </w:rPr>
        <w:tab/>
      </w:r>
      <w:r>
        <w:rPr>
          <w:rFonts w:hint="eastAsia" w:ascii="仿宋_GB2312"/>
        </w:rPr>
        <w:fldChar w:fldCharType="begin"/>
      </w:r>
      <w:r>
        <w:rPr>
          <w:rFonts w:hint="eastAsia" w:ascii="仿宋_GB2312"/>
        </w:rPr>
        <w:instrText xml:space="preserve"> PAGEREF _Toc101686459 \h </w:instrText>
      </w:r>
      <w:r>
        <w:rPr>
          <w:rFonts w:hint="eastAsia" w:ascii="仿宋_GB2312"/>
        </w:rPr>
        <w:fldChar w:fldCharType="separate"/>
      </w:r>
      <w:r>
        <w:rPr>
          <w:rFonts w:ascii="仿宋_GB2312"/>
        </w:rPr>
        <w:t>3</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"_Toc101686460" </w:instrText>
      </w:r>
      <w:r>
        <w:fldChar w:fldCharType="separate"/>
      </w:r>
      <w:r>
        <w:rPr>
          <w:rStyle w:val="26"/>
          <w:rFonts w:hint="eastAsia" w:ascii="仿宋_GB2312"/>
        </w:rPr>
        <w:t>（三）发展保障性租赁住房是浙江省推进共同富裕示范区建设，高质量打造“浙里安居”样板的重要行动</w:t>
      </w:r>
      <w:r>
        <w:rPr>
          <w:rFonts w:hint="eastAsia" w:ascii="仿宋_GB2312"/>
        </w:rPr>
        <w:tab/>
      </w:r>
      <w:r>
        <w:rPr>
          <w:rFonts w:hint="eastAsia" w:ascii="仿宋_GB2312"/>
        </w:rPr>
        <w:fldChar w:fldCharType="begin"/>
      </w:r>
      <w:r>
        <w:rPr>
          <w:rFonts w:hint="eastAsia" w:ascii="仿宋_GB2312"/>
        </w:rPr>
        <w:instrText xml:space="preserve"> PAGEREF _Toc101686460 \h </w:instrText>
      </w:r>
      <w:r>
        <w:rPr>
          <w:rFonts w:hint="eastAsia" w:ascii="仿宋_GB2312"/>
        </w:rPr>
        <w:fldChar w:fldCharType="separate"/>
      </w:r>
      <w:r>
        <w:rPr>
          <w:rFonts w:ascii="仿宋_GB2312"/>
        </w:rPr>
        <w:t>4</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"_Toc101686461" </w:instrText>
      </w:r>
      <w:r>
        <w:fldChar w:fldCharType="separate"/>
      </w:r>
      <w:r>
        <w:rPr>
          <w:rStyle w:val="26"/>
          <w:rFonts w:hint="eastAsia" w:ascii="仿宋_GB2312"/>
        </w:rPr>
        <w:t>（四）发展保障性租赁住房是衢州市增强人才吸引力、提升城市竞争力、建设青年发展型城市的重要抓手</w:t>
      </w:r>
      <w:bookmarkStart w:id="110" w:name="_GoBack"/>
      <w:bookmarkEnd w:id="110"/>
      <w:r>
        <w:rPr>
          <w:rFonts w:hint="eastAsia" w:ascii="仿宋_GB2312"/>
        </w:rPr>
        <w:tab/>
      </w:r>
      <w:r>
        <w:rPr>
          <w:rFonts w:hint="eastAsia" w:ascii="仿宋_GB2312"/>
        </w:rPr>
        <w:fldChar w:fldCharType="begin"/>
      </w:r>
      <w:r>
        <w:rPr>
          <w:rFonts w:hint="eastAsia" w:ascii="仿宋_GB2312"/>
        </w:rPr>
        <w:instrText xml:space="preserve"> PAGEREF _Toc101686461 \h </w:instrText>
      </w:r>
      <w:r>
        <w:rPr>
          <w:rFonts w:hint="eastAsia" w:ascii="仿宋_GB2312"/>
        </w:rPr>
        <w:fldChar w:fldCharType="separate"/>
      </w:r>
      <w:r>
        <w:rPr>
          <w:rFonts w:ascii="仿宋_GB2312"/>
        </w:rPr>
        <w:t>4</w:t>
      </w:r>
      <w:r>
        <w:rPr>
          <w:rFonts w:hint="eastAsia" w:ascii="仿宋_GB2312"/>
        </w:rPr>
        <w:fldChar w:fldCharType="end"/>
      </w:r>
      <w:r>
        <w:rPr>
          <w:rFonts w:hint="eastAsia" w:ascii="仿宋_GB2312"/>
        </w:rPr>
        <w:fldChar w:fldCharType="end"/>
      </w:r>
    </w:p>
    <w:p>
      <w:pPr>
        <w:pStyle w:val="20"/>
        <w:rPr>
          <w:rFonts w:ascii="黑体" w:hAnsi="黑体" w:eastAsia="黑体" w:cstheme="minorBidi"/>
          <w:smallCaps w:val="0"/>
          <w:kern w:val="2"/>
          <w:sz w:val="21"/>
          <w:szCs w:val="22"/>
        </w:rPr>
      </w:pPr>
      <w:r>
        <w:fldChar w:fldCharType="begin"/>
      </w:r>
      <w:r>
        <w:instrText xml:space="preserve"> HYPERLINK \l "_Toc101686462" </w:instrText>
      </w:r>
      <w:r>
        <w:fldChar w:fldCharType="separate"/>
      </w:r>
      <w:r>
        <w:rPr>
          <w:rStyle w:val="26"/>
          <w:rFonts w:hint="eastAsia" w:ascii="黑体" w:hAnsi="黑体" w:eastAsia="黑体"/>
        </w:rPr>
        <w:t>二、发展基础与存在问题</w:t>
      </w:r>
      <w:r>
        <w:rPr>
          <w:rFonts w:ascii="黑体" w:hAnsi="黑体" w:eastAsia="黑体"/>
        </w:rPr>
        <w:tab/>
      </w:r>
      <w:r>
        <w:rPr>
          <w:rFonts w:ascii="黑体" w:hAnsi="黑体" w:eastAsia="黑体"/>
        </w:rPr>
        <w:fldChar w:fldCharType="begin"/>
      </w:r>
      <w:r>
        <w:rPr>
          <w:rFonts w:ascii="黑体" w:hAnsi="黑体" w:eastAsia="黑体"/>
        </w:rPr>
        <w:instrText xml:space="preserve"> PAGEREF _Toc101686462 \h </w:instrText>
      </w:r>
      <w:r>
        <w:rPr>
          <w:rFonts w:ascii="黑体" w:hAnsi="黑体" w:eastAsia="黑体"/>
        </w:rPr>
        <w:fldChar w:fldCharType="separate"/>
      </w:r>
      <w:r>
        <w:rPr>
          <w:rFonts w:ascii="黑体" w:hAnsi="黑体" w:eastAsia="黑体"/>
        </w:rPr>
        <w:t>5</w:t>
      </w:r>
      <w:r>
        <w:rPr>
          <w:rFonts w:ascii="黑体" w:hAnsi="黑体" w:eastAsia="黑体"/>
        </w:rPr>
        <w:fldChar w:fldCharType="end"/>
      </w:r>
      <w:r>
        <w:rPr>
          <w:rFonts w:ascii="黑体" w:hAnsi="黑体" w:eastAsia="黑体"/>
        </w:rPr>
        <w:fldChar w:fldCharType="end"/>
      </w:r>
    </w:p>
    <w:p>
      <w:pPr>
        <w:pStyle w:val="20"/>
        <w:rPr>
          <w:rFonts w:ascii="仿宋_GB2312" w:cstheme="minorBidi"/>
          <w:smallCaps w:val="0"/>
          <w:kern w:val="2"/>
          <w:sz w:val="21"/>
          <w:szCs w:val="22"/>
        </w:rPr>
      </w:pPr>
      <w:r>
        <w:fldChar w:fldCharType="begin"/>
      </w:r>
      <w:r>
        <w:instrText xml:space="preserve"> HYPERLINK \l "_Toc101686463" </w:instrText>
      </w:r>
      <w:r>
        <w:fldChar w:fldCharType="separate"/>
      </w:r>
      <w:r>
        <w:rPr>
          <w:rStyle w:val="26"/>
          <w:rFonts w:hint="eastAsia" w:ascii="仿宋_GB2312"/>
        </w:rPr>
        <w:t>（一）发展基础</w:t>
      </w:r>
      <w:r>
        <w:rPr>
          <w:rFonts w:hint="eastAsia" w:ascii="仿宋_GB2312"/>
        </w:rPr>
        <w:tab/>
      </w:r>
      <w:r>
        <w:rPr>
          <w:rFonts w:hint="eastAsia" w:ascii="仿宋_GB2312"/>
        </w:rPr>
        <w:fldChar w:fldCharType="begin"/>
      </w:r>
      <w:r>
        <w:rPr>
          <w:rFonts w:hint="eastAsia" w:ascii="仿宋_GB2312"/>
        </w:rPr>
        <w:instrText xml:space="preserve"> PAGEREF _Toc101686463 \h </w:instrText>
      </w:r>
      <w:r>
        <w:rPr>
          <w:rFonts w:hint="eastAsia" w:ascii="仿宋_GB2312"/>
        </w:rPr>
        <w:fldChar w:fldCharType="separate"/>
      </w:r>
      <w:r>
        <w:rPr>
          <w:rFonts w:ascii="仿宋_GB2312"/>
        </w:rPr>
        <w:t>5</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"_Toc101686464" </w:instrText>
      </w:r>
      <w:r>
        <w:fldChar w:fldCharType="separate"/>
      </w:r>
      <w:r>
        <w:rPr>
          <w:rStyle w:val="26"/>
          <w:rFonts w:hint="eastAsia" w:ascii="仿宋_GB2312"/>
        </w:rPr>
        <w:t>（二）存在问题</w:t>
      </w:r>
      <w:r>
        <w:rPr>
          <w:rFonts w:hint="eastAsia" w:ascii="仿宋_GB2312"/>
        </w:rPr>
        <w:tab/>
      </w:r>
      <w:r>
        <w:rPr>
          <w:rFonts w:hint="eastAsia" w:ascii="仿宋_GB2312"/>
        </w:rPr>
        <w:fldChar w:fldCharType="begin"/>
      </w:r>
      <w:r>
        <w:rPr>
          <w:rFonts w:hint="eastAsia" w:ascii="仿宋_GB2312"/>
        </w:rPr>
        <w:instrText xml:space="preserve"> PAGEREF _Toc101686464 \h </w:instrText>
      </w:r>
      <w:r>
        <w:rPr>
          <w:rFonts w:hint="eastAsia" w:ascii="仿宋_GB2312"/>
        </w:rPr>
        <w:fldChar w:fldCharType="separate"/>
      </w:r>
      <w:r>
        <w:rPr>
          <w:rFonts w:ascii="仿宋_GB2312"/>
        </w:rPr>
        <w:t>7</w:t>
      </w:r>
      <w:r>
        <w:rPr>
          <w:rFonts w:hint="eastAsia" w:ascii="仿宋_GB2312"/>
        </w:rPr>
        <w:fldChar w:fldCharType="end"/>
      </w:r>
      <w:r>
        <w:rPr>
          <w:rFonts w:hint="eastAsia" w:ascii="仿宋_GB2312"/>
        </w:rPr>
        <w:fldChar w:fldCharType="end"/>
      </w:r>
    </w:p>
    <w:p>
      <w:pPr>
        <w:pStyle w:val="20"/>
        <w:rPr>
          <w:rStyle w:val="26"/>
          <w:rFonts w:ascii="黑体" w:hAnsi="黑体" w:eastAsia="黑体"/>
        </w:rPr>
      </w:pPr>
      <w:r>
        <w:fldChar w:fldCharType="begin"/>
      </w:r>
      <w:r>
        <w:instrText xml:space="preserve"> HYPERLINK \l "_Toc101686465" </w:instrText>
      </w:r>
      <w:r>
        <w:fldChar w:fldCharType="separate"/>
      </w:r>
      <w:r>
        <w:rPr>
          <w:rStyle w:val="26"/>
          <w:rFonts w:hint="eastAsia" w:ascii="黑体" w:hAnsi="黑体" w:eastAsia="黑体"/>
        </w:rPr>
        <w:t>三、指导思想、规划原则和规划目标</w:t>
      </w:r>
      <w:r>
        <w:rPr>
          <w:rStyle w:val="26"/>
          <w:rFonts w:ascii="黑体" w:hAnsi="黑体" w:eastAsia="黑体"/>
        </w:rPr>
        <w:tab/>
      </w:r>
      <w:r>
        <w:rPr>
          <w:rStyle w:val="26"/>
          <w:rFonts w:ascii="黑体" w:hAnsi="黑体" w:eastAsia="黑体"/>
        </w:rPr>
        <w:fldChar w:fldCharType="begin"/>
      </w:r>
      <w:r>
        <w:rPr>
          <w:rStyle w:val="26"/>
          <w:rFonts w:ascii="黑体" w:hAnsi="黑体" w:eastAsia="黑体"/>
        </w:rPr>
        <w:instrText xml:space="preserve"> PAGEREF _Toc101686465 \h </w:instrText>
      </w:r>
      <w:r>
        <w:rPr>
          <w:rStyle w:val="26"/>
          <w:rFonts w:ascii="黑体" w:hAnsi="黑体" w:eastAsia="黑体"/>
        </w:rPr>
        <w:fldChar w:fldCharType="separate"/>
      </w:r>
      <w:r>
        <w:rPr>
          <w:rStyle w:val="26"/>
          <w:rFonts w:ascii="黑体" w:hAnsi="黑体" w:eastAsia="黑体"/>
        </w:rPr>
        <w:t>8</w:t>
      </w:r>
      <w:r>
        <w:rPr>
          <w:rStyle w:val="26"/>
          <w:rFonts w:ascii="黑体" w:hAnsi="黑体" w:eastAsia="黑体"/>
        </w:rPr>
        <w:fldChar w:fldCharType="end"/>
      </w:r>
      <w:r>
        <w:rPr>
          <w:rStyle w:val="26"/>
          <w:rFonts w:ascii="黑体" w:hAnsi="黑体" w:eastAsia="黑体"/>
        </w:rPr>
        <w:fldChar w:fldCharType="end"/>
      </w:r>
    </w:p>
    <w:p>
      <w:pPr>
        <w:pStyle w:val="20"/>
        <w:rPr>
          <w:rFonts w:ascii="仿宋_GB2312" w:cstheme="minorBidi"/>
          <w:smallCaps w:val="0"/>
          <w:kern w:val="2"/>
          <w:sz w:val="21"/>
          <w:szCs w:val="22"/>
        </w:rPr>
      </w:pPr>
      <w:r>
        <w:fldChar w:fldCharType="begin"/>
      </w:r>
      <w:r>
        <w:instrText xml:space="preserve"> HYPERLINK \l "_Toc101686466" </w:instrText>
      </w:r>
      <w:r>
        <w:fldChar w:fldCharType="separate"/>
      </w:r>
      <w:r>
        <w:rPr>
          <w:rStyle w:val="26"/>
          <w:rFonts w:hint="eastAsia" w:ascii="仿宋_GB2312"/>
        </w:rPr>
        <w:t>（一）指导思想</w:t>
      </w:r>
      <w:r>
        <w:rPr>
          <w:rFonts w:hint="eastAsia" w:ascii="仿宋_GB2312"/>
        </w:rPr>
        <w:tab/>
      </w:r>
      <w:r>
        <w:rPr>
          <w:rFonts w:hint="eastAsia" w:ascii="仿宋_GB2312"/>
        </w:rPr>
        <w:fldChar w:fldCharType="begin"/>
      </w:r>
      <w:r>
        <w:rPr>
          <w:rFonts w:hint="eastAsia" w:ascii="仿宋_GB2312"/>
        </w:rPr>
        <w:instrText xml:space="preserve"> PAGEREF _Toc101686466 \h </w:instrText>
      </w:r>
      <w:r>
        <w:rPr>
          <w:rFonts w:hint="eastAsia" w:ascii="仿宋_GB2312"/>
        </w:rPr>
        <w:fldChar w:fldCharType="separate"/>
      </w:r>
      <w:r>
        <w:rPr>
          <w:rFonts w:ascii="仿宋_GB2312"/>
        </w:rPr>
        <w:t>8</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"_Toc101686467" </w:instrText>
      </w:r>
      <w:r>
        <w:fldChar w:fldCharType="separate"/>
      </w:r>
      <w:r>
        <w:rPr>
          <w:rStyle w:val="26"/>
          <w:rFonts w:hint="eastAsia" w:ascii="仿宋_GB2312"/>
        </w:rPr>
        <w:t>（二）规划原则</w:t>
      </w:r>
      <w:r>
        <w:rPr>
          <w:rFonts w:hint="eastAsia" w:ascii="仿宋_GB2312"/>
        </w:rPr>
        <w:tab/>
      </w:r>
      <w:r>
        <w:rPr>
          <w:rFonts w:hint="eastAsia" w:ascii="仿宋_GB2312"/>
        </w:rPr>
        <w:fldChar w:fldCharType="begin"/>
      </w:r>
      <w:r>
        <w:rPr>
          <w:rFonts w:hint="eastAsia" w:ascii="仿宋_GB2312"/>
        </w:rPr>
        <w:instrText xml:space="preserve"> PAGEREF _Toc101686467 \h </w:instrText>
      </w:r>
      <w:r>
        <w:rPr>
          <w:rFonts w:hint="eastAsia" w:ascii="仿宋_GB2312"/>
        </w:rPr>
        <w:fldChar w:fldCharType="separate"/>
      </w:r>
      <w:r>
        <w:rPr>
          <w:rFonts w:ascii="仿宋_GB2312"/>
        </w:rPr>
        <w:t>9</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"_Toc101686468" </w:instrText>
      </w:r>
      <w:r>
        <w:fldChar w:fldCharType="separate"/>
      </w:r>
      <w:r>
        <w:rPr>
          <w:rStyle w:val="26"/>
          <w:rFonts w:hint="eastAsia" w:ascii="仿宋_GB2312"/>
        </w:rPr>
        <w:t>（三）规划目标</w:t>
      </w:r>
      <w:r>
        <w:rPr>
          <w:rFonts w:hint="eastAsia" w:ascii="仿宋_GB2312"/>
        </w:rPr>
        <w:tab/>
      </w:r>
      <w:r>
        <w:rPr>
          <w:rFonts w:hint="eastAsia" w:ascii="仿宋_GB2312"/>
        </w:rPr>
        <w:fldChar w:fldCharType="begin"/>
      </w:r>
      <w:r>
        <w:rPr>
          <w:rFonts w:hint="eastAsia" w:ascii="仿宋_GB2312"/>
        </w:rPr>
        <w:instrText xml:space="preserve"> PAGEREF _Toc101686468 \h </w:instrText>
      </w:r>
      <w:r>
        <w:rPr>
          <w:rFonts w:hint="eastAsia" w:ascii="仿宋_GB2312"/>
        </w:rPr>
        <w:fldChar w:fldCharType="separate"/>
      </w:r>
      <w:r>
        <w:rPr>
          <w:rFonts w:ascii="仿宋_GB2312"/>
        </w:rPr>
        <w:t>10</w:t>
      </w:r>
      <w:r>
        <w:rPr>
          <w:rFonts w:hint="eastAsia" w:ascii="仿宋_GB2312"/>
        </w:rPr>
        <w:fldChar w:fldCharType="end"/>
      </w:r>
      <w:r>
        <w:rPr>
          <w:rFonts w:hint="eastAsia" w:ascii="仿宋_GB2312"/>
        </w:rPr>
        <w:fldChar w:fldCharType="end"/>
      </w:r>
    </w:p>
    <w:p>
      <w:pPr>
        <w:pStyle w:val="20"/>
        <w:rPr>
          <w:rFonts w:ascii="黑体" w:hAnsi="黑体" w:eastAsia="黑体" w:cstheme="minorBidi"/>
          <w:smallCaps w:val="0"/>
          <w:kern w:val="2"/>
          <w:sz w:val="21"/>
          <w:szCs w:val="22"/>
        </w:rPr>
      </w:pPr>
      <w:r>
        <w:fldChar w:fldCharType="begin"/>
      </w:r>
      <w:r>
        <w:instrText xml:space="preserve"> HYPERLINK \l "_Toc101686469" </w:instrText>
      </w:r>
      <w:r>
        <w:fldChar w:fldCharType="separate"/>
      </w:r>
      <w:r>
        <w:rPr>
          <w:rStyle w:val="26"/>
          <w:rFonts w:hint="eastAsia" w:ascii="黑体" w:hAnsi="黑体" w:eastAsia="黑体"/>
        </w:rPr>
        <w:t>四、主要任务</w:t>
      </w:r>
      <w:r>
        <w:rPr>
          <w:rFonts w:ascii="黑体" w:hAnsi="黑体" w:eastAsia="黑体"/>
        </w:rPr>
        <w:tab/>
      </w:r>
      <w:r>
        <w:rPr>
          <w:rFonts w:ascii="黑体" w:hAnsi="黑体" w:eastAsia="黑体"/>
        </w:rPr>
        <w:fldChar w:fldCharType="begin"/>
      </w:r>
      <w:r>
        <w:rPr>
          <w:rFonts w:ascii="黑体" w:hAnsi="黑体" w:eastAsia="黑体"/>
        </w:rPr>
        <w:instrText xml:space="preserve"> PAGEREF _Toc101686469 \h </w:instrText>
      </w:r>
      <w:r>
        <w:rPr>
          <w:rFonts w:ascii="黑体" w:hAnsi="黑体" w:eastAsia="黑体"/>
        </w:rPr>
        <w:fldChar w:fldCharType="separate"/>
      </w:r>
      <w:r>
        <w:rPr>
          <w:rFonts w:ascii="黑体" w:hAnsi="黑体" w:eastAsia="黑体"/>
        </w:rPr>
        <w:t>16</w:t>
      </w:r>
      <w:r>
        <w:rPr>
          <w:rFonts w:ascii="黑体" w:hAnsi="黑体" w:eastAsia="黑体"/>
        </w:rPr>
        <w:fldChar w:fldCharType="end"/>
      </w:r>
      <w:r>
        <w:rPr>
          <w:rFonts w:ascii="黑体" w:hAnsi="黑体" w:eastAsia="黑体"/>
        </w:rPr>
        <w:fldChar w:fldCharType="end"/>
      </w:r>
    </w:p>
    <w:p>
      <w:pPr>
        <w:pStyle w:val="20"/>
        <w:rPr>
          <w:rFonts w:ascii="仿宋_GB2312" w:cstheme="minorBidi"/>
          <w:smallCaps w:val="0"/>
          <w:kern w:val="2"/>
          <w:sz w:val="21"/>
          <w:szCs w:val="22"/>
        </w:rPr>
      </w:pPr>
      <w:r>
        <w:fldChar w:fldCharType="begin"/>
      </w:r>
      <w:r>
        <w:instrText xml:space="preserve"> HYPERLINK \l "_Toc101686470" </w:instrText>
      </w:r>
      <w:r>
        <w:fldChar w:fldCharType="separate"/>
      </w:r>
      <w:r>
        <w:rPr>
          <w:rStyle w:val="26"/>
          <w:rFonts w:hint="eastAsia" w:ascii="仿宋_GB2312"/>
        </w:rPr>
        <w:t>（一）建立健全保障性租赁住房制度</w:t>
      </w:r>
      <w:r>
        <w:rPr>
          <w:rFonts w:hint="eastAsia" w:ascii="仿宋_GB2312"/>
        </w:rPr>
        <w:tab/>
      </w:r>
      <w:r>
        <w:rPr>
          <w:rFonts w:hint="eastAsia" w:ascii="仿宋_GB2312"/>
        </w:rPr>
        <w:fldChar w:fldCharType="begin"/>
      </w:r>
      <w:r>
        <w:rPr>
          <w:rFonts w:hint="eastAsia" w:ascii="仿宋_GB2312"/>
        </w:rPr>
        <w:instrText xml:space="preserve"> PAGEREF _Toc101686470 \h </w:instrText>
      </w:r>
      <w:r>
        <w:rPr>
          <w:rFonts w:hint="eastAsia" w:ascii="仿宋_GB2312"/>
        </w:rPr>
        <w:fldChar w:fldCharType="separate"/>
      </w:r>
      <w:r>
        <w:rPr>
          <w:rFonts w:ascii="仿宋_GB2312"/>
        </w:rPr>
        <w:t>16</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"_Toc101686471" </w:instrText>
      </w:r>
      <w:r>
        <w:fldChar w:fldCharType="separate"/>
      </w:r>
      <w:r>
        <w:rPr>
          <w:rStyle w:val="26"/>
          <w:rFonts w:hint="eastAsia" w:ascii="仿宋_GB2312"/>
        </w:rPr>
        <w:t>（二）完善多元主体的房源供应体系</w:t>
      </w:r>
      <w:r>
        <w:rPr>
          <w:rFonts w:hint="eastAsia" w:ascii="仿宋_GB2312"/>
        </w:rPr>
        <w:tab/>
      </w:r>
      <w:r>
        <w:rPr>
          <w:rFonts w:hint="eastAsia" w:ascii="仿宋_GB2312"/>
        </w:rPr>
        <w:fldChar w:fldCharType="begin"/>
      </w:r>
      <w:r>
        <w:rPr>
          <w:rFonts w:hint="eastAsia" w:ascii="仿宋_GB2312"/>
        </w:rPr>
        <w:instrText xml:space="preserve"> PAGEREF _Toc101686471 \h </w:instrText>
      </w:r>
      <w:r>
        <w:rPr>
          <w:rFonts w:hint="eastAsia" w:ascii="仿宋_GB2312"/>
        </w:rPr>
        <w:fldChar w:fldCharType="separate"/>
      </w:r>
      <w:r>
        <w:rPr>
          <w:rFonts w:ascii="仿宋_GB2312"/>
        </w:rPr>
        <w:t>17</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"_Toc101686472" </w:instrText>
      </w:r>
      <w:r>
        <w:fldChar w:fldCharType="separate"/>
      </w:r>
      <w:r>
        <w:rPr>
          <w:rStyle w:val="26"/>
          <w:rFonts w:hint="eastAsia" w:ascii="仿宋_GB2312"/>
        </w:rPr>
        <w:t>（三）支持专业化规模化的市场供应主体</w:t>
      </w:r>
      <w:r>
        <w:rPr>
          <w:rFonts w:hint="eastAsia" w:ascii="仿宋_GB2312"/>
        </w:rPr>
        <w:tab/>
      </w:r>
      <w:r>
        <w:rPr>
          <w:rFonts w:hint="eastAsia" w:ascii="仿宋_GB2312"/>
        </w:rPr>
        <w:fldChar w:fldCharType="begin"/>
      </w:r>
      <w:r>
        <w:rPr>
          <w:rFonts w:hint="eastAsia" w:ascii="仿宋_GB2312"/>
        </w:rPr>
        <w:instrText xml:space="preserve"> PAGEREF _Toc101686472 \h </w:instrText>
      </w:r>
      <w:r>
        <w:rPr>
          <w:rFonts w:hint="eastAsia" w:ascii="仿宋_GB2312"/>
        </w:rPr>
        <w:fldChar w:fldCharType="separate"/>
      </w:r>
      <w:r>
        <w:rPr>
          <w:rFonts w:ascii="仿宋_GB2312"/>
        </w:rPr>
        <w:t>19</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"_Toc101686473" </w:instrText>
      </w:r>
      <w:r>
        <w:fldChar w:fldCharType="separate"/>
      </w:r>
      <w:r>
        <w:rPr>
          <w:rStyle w:val="26"/>
          <w:rFonts w:hint="eastAsia" w:ascii="仿宋_GB2312"/>
        </w:rPr>
        <w:t>（四）提升住房品质和居住服务水平</w:t>
      </w:r>
      <w:r>
        <w:rPr>
          <w:rFonts w:hint="eastAsia" w:ascii="仿宋_GB2312"/>
        </w:rPr>
        <w:tab/>
      </w:r>
      <w:r>
        <w:rPr>
          <w:rFonts w:hint="eastAsia" w:ascii="仿宋_GB2312"/>
        </w:rPr>
        <w:fldChar w:fldCharType="begin"/>
      </w:r>
      <w:r>
        <w:rPr>
          <w:rFonts w:hint="eastAsia" w:ascii="仿宋_GB2312"/>
        </w:rPr>
        <w:instrText xml:space="preserve"> PAGEREF _Toc101686473 \h </w:instrText>
      </w:r>
      <w:r>
        <w:rPr>
          <w:rFonts w:hint="eastAsia" w:ascii="仿宋_GB2312"/>
        </w:rPr>
        <w:fldChar w:fldCharType="separate"/>
      </w:r>
      <w:r>
        <w:rPr>
          <w:rFonts w:ascii="仿宋_GB2312"/>
        </w:rPr>
        <w:t>20</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"_Toc101686474" </w:instrText>
      </w:r>
      <w:r>
        <w:fldChar w:fldCharType="separate"/>
      </w:r>
      <w:r>
        <w:rPr>
          <w:rStyle w:val="26"/>
          <w:rFonts w:hint="eastAsia" w:ascii="仿宋_GB2312"/>
        </w:rPr>
        <w:t>（五）提高监管服务水平</w:t>
      </w:r>
      <w:r>
        <w:rPr>
          <w:rFonts w:hint="eastAsia" w:ascii="仿宋_GB2312"/>
        </w:rPr>
        <w:tab/>
      </w:r>
      <w:r>
        <w:rPr>
          <w:rFonts w:hint="eastAsia" w:ascii="仿宋_GB2312"/>
        </w:rPr>
        <w:fldChar w:fldCharType="begin"/>
      </w:r>
      <w:r>
        <w:rPr>
          <w:rFonts w:hint="eastAsia" w:ascii="仿宋_GB2312"/>
        </w:rPr>
        <w:instrText xml:space="preserve"> PAGEREF _Toc101686474 \h </w:instrText>
      </w:r>
      <w:r>
        <w:rPr>
          <w:rFonts w:hint="eastAsia" w:ascii="仿宋_GB2312"/>
        </w:rPr>
        <w:fldChar w:fldCharType="separate"/>
      </w:r>
      <w:r>
        <w:rPr>
          <w:rFonts w:ascii="仿宋_GB2312"/>
        </w:rPr>
        <w:t>21</w:t>
      </w:r>
      <w:r>
        <w:rPr>
          <w:rFonts w:hint="eastAsia" w:ascii="仿宋_GB2312"/>
        </w:rPr>
        <w:fldChar w:fldCharType="end"/>
      </w:r>
      <w:r>
        <w:rPr>
          <w:rFonts w:hint="eastAsia" w:ascii="仿宋_GB2312"/>
        </w:rPr>
        <w:fldChar w:fldCharType="end"/>
      </w:r>
    </w:p>
    <w:p>
      <w:pPr>
        <w:pStyle w:val="20"/>
        <w:rPr>
          <w:rFonts w:ascii="黑体" w:hAnsi="黑体" w:eastAsia="黑体" w:cstheme="minorBidi"/>
          <w:smallCaps w:val="0"/>
          <w:kern w:val="2"/>
          <w:sz w:val="21"/>
          <w:szCs w:val="22"/>
        </w:rPr>
      </w:pPr>
      <w:r>
        <w:fldChar w:fldCharType="begin"/>
      </w:r>
      <w:r>
        <w:instrText xml:space="preserve"> HYPERLINK \l "_Toc101686475" </w:instrText>
      </w:r>
      <w:r>
        <w:fldChar w:fldCharType="separate"/>
      </w:r>
      <w:r>
        <w:rPr>
          <w:rStyle w:val="26"/>
          <w:rFonts w:hint="eastAsia" w:ascii="黑体" w:hAnsi="黑体" w:eastAsia="黑体"/>
        </w:rPr>
        <w:t>五、空间布局与分区指引</w:t>
      </w:r>
      <w:r>
        <w:rPr>
          <w:rFonts w:ascii="黑体" w:hAnsi="黑体" w:eastAsia="黑体"/>
        </w:rPr>
        <w:tab/>
      </w:r>
      <w:r>
        <w:rPr>
          <w:rFonts w:ascii="黑体" w:hAnsi="黑体" w:eastAsia="黑体"/>
        </w:rPr>
        <w:fldChar w:fldCharType="begin"/>
      </w:r>
      <w:r>
        <w:rPr>
          <w:rFonts w:ascii="黑体" w:hAnsi="黑体" w:eastAsia="黑体"/>
        </w:rPr>
        <w:instrText xml:space="preserve"> PAGEREF _Toc101686475 \h </w:instrText>
      </w:r>
      <w:r>
        <w:rPr>
          <w:rFonts w:ascii="黑体" w:hAnsi="黑体" w:eastAsia="黑体"/>
        </w:rPr>
        <w:fldChar w:fldCharType="separate"/>
      </w:r>
      <w:r>
        <w:rPr>
          <w:rFonts w:ascii="黑体" w:hAnsi="黑体" w:eastAsia="黑体"/>
        </w:rPr>
        <w:t>22</w:t>
      </w:r>
      <w:r>
        <w:rPr>
          <w:rFonts w:ascii="黑体" w:hAnsi="黑体" w:eastAsia="黑体"/>
        </w:rPr>
        <w:fldChar w:fldCharType="end"/>
      </w:r>
      <w:r>
        <w:rPr>
          <w:rFonts w:ascii="黑体" w:hAnsi="黑体" w:eastAsia="黑体"/>
        </w:rPr>
        <w:fldChar w:fldCharType="end"/>
      </w:r>
    </w:p>
    <w:p>
      <w:pPr>
        <w:pStyle w:val="20"/>
        <w:rPr>
          <w:rFonts w:ascii="仿宋_GB2312" w:cstheme="minorBidi"/>
          <w:smallCaps w:val="0"/>
          <w:kern w:val="2"/>
          <w:sz w:val="21"/>
          <w:szCs w:val="22"/>
        </w:rPr>
      </w:pPr>
      <w:r>
        <w:fldChar w:fldCharType="begin"/>
      </w:r>
      <w:r>
        <w:instrText xml:space="preserve"> HYPERLINK \l "_Toc101686476" </w:instrText>
      </w:r>
      <w:r>
        <w:fldChar w:fldCharType="separate"/>
      </w:r>
      <w:r>
        <w:rPr>
          <w:rStyle w:val="26"/>
          <w:rFonts w:hint="eastAsia" w:ascii="仿宋_GB2312"/>
        </w:rPr>
        <w:t>（一）计划筹集及意向项目情况</w:t>
      </w:r>
      <w:r>
        <w:rPr>
          <w:rFonts w:hint="eastAsia" w:ascii="仿宋_GB2312"/>
        </w:rPr>
        <w:tab/>
      </w:r>
      <w:r>
        <w:rPr>
          <w:rFonts w:hint="eastAsia" w:ascii="仿宋_GB2312"/>
        </w:rPr>
        <w:fldChar w:fldCharType="begin"/>
      </w:r>
      <w:r>
        <w:rPr>
          <w:rFonts w:hint="eastAsia" w:ascii="仿宋_GB2312"/>
        </w:rPr>
        <w:instrText xml:space="preserve"> PAGEREF _Toc101686476 \h </w:instrText>
      </w:r>
      <w:r>
        <w:rPr>
          <w:rFonts w:hint="eastAsia" w:ascii="仿宋_GB2312"/>
        </w:rPr>
        <w:fldChar w:fldCharType="separate"/>
      </w:r>
      <w:r>
        <w:rPr>
          <w:rFonts w:ascii="仿宋_GB2312"/>
        </w:rPr>
        <w:t>23</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"_Toc101686477" </w:instrText>
      </w:r>
      <w:r>
        <w:fldChar w:fldCharType="separate"/>
      </w:r>
      <w:r>
        <w:rPr>
          <w:rStyle w:val="26"/>
          <w:rFonts w:hint="eastAsia" w:ascii="仿宋_GB2312"/>
        </w:rPr>
        <w:t>（二）柯城城区分区指引</w:t>
      </w:r>
      <w:r>
        <w:rPr>
          <w:rFonts w:hint="eastAsia" w:ascii="仿宋_GB2312"/>
        </w:rPr>
        <w:tab/>
      </w:r>
      <w:r>
        <w:rPr>
          <w:rFonts w:hint="eastAsia" w:ascii="仿宋_GB2312"/>
        </w:rPr>
        <w:fldChar w:fldCharType="begin"/>
      </w:r>
      <w:r>
        <w:rPr>
          <w:rFonts w:hint="eastAsia" w:ascii="仿宋_GB2312"/>
        </w:rPr>
        <w:instrText xml:space="preserve"> PAGEREF _Toc101686477 \h </w:instrText>
      </w:r>
      <w:r>
        <w:rPr>
          <w:rFonts w:hint="eastAsia" w:ascii="仿宋_GB2312"/>
        </w:rPr>
        <w:fldChar w:fldCharType="separate"/>
      </w:r>
      <w:r>
        <w:rPr>
          <w:rFonts w:ascii="仿宋_GB2312"/>
        </w:rPr>
        <w:t>23</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"_Toc101686478" </w:instrText>
      </w:r>
      <w:r>
        <w:fldChar w:fldCharType="separate"/>
      </w:r>
      <w:r>
        <w:rPr>
          <w:rStyle w:val="26"/>
          <w:rFonts w:hint="eastAsia" w:ascii="仿宋_GB2312"/>
        </w:rPr>
        <w:t>（三）衢江城区分区指引</w:t>
      </w:r>
      <w:r>
        <w:rPr>
          <w:rFonts w:hint="eastAsia" w:ascii="仿宋_GB2312"/>
        </w:rPr>
        <w:tab/>
      </w:r>
      <w:r>
        <w:rPr>
          <w:rFonts w:hint="eastAsia" w:ascii="仿宋_GB2312"/>
        </w:rPr>
        <w:fldChar w:fldCharType="begin"/>
      </w:r>
      <w:r>
        <w:rPr>
          <w:rFonts w:hint="eastAsia" w:ascii="仿宋_GB2312"/>
        </w:rPr>
        <w:instrText xml:space="preserve"> PAGEREF _Toc101686478 \h </w:instrText>
      </w:r>
      <w:r>
        <w:rPr>
          <w:rFonts w:hint="eastAsia" w:ascii="仿宋_GB2312"/>
        </w:rPr>
        <w:fldChar w:fldCharType="separate"/>
      </w:r>
      <w:r>
        <w:rPr>
          <w:rFonts w:ascii="仿宋_GB2312"/>
        </w:rPr>
        <w:t>25</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"_Toc101686479" </w:instrText>
      </w:r>
      <w:r>
        <w:fldChar w:fldCharType="separate"/>
      </w:r>
      <w:r>
        <w:rPr>
          <w:rStyle w:val="26"/>
          <w:rFonts w:hint="eastAsia" w:ascii="仿宋_GB2312"/>
        </w:rPr>
        <w:t>（四）智慧新城分区指引</w:t>
      </w:r>
      <w:r>
        <w:rPr>
          <w:rFonts w:hint="eastAsia" w:ascii="仿宋_GB2312"/>
        </w:rPr>
        <w:tab/>
      </w:r>
      <w:r>
        <w:rPr>
          <w:rFonts w:hint="eastAsia" w:ascii="仿宋_GB2312"/>
        </w:rPr>
        <w:fldChar w:fldCharType="begin"/>
      </w:r>
      <w:r>
        <w:rPr>
          <w:rFonts w:hint="eastAsia" w:ascii="仿宋_GB2312"/>
        </w:rPr>
        <w:instrText xml:space="preserve"> PAGEREF _Toc101686479 \h </w:instrText>
      </w:r>
      <w:r>
        <w:rPr>
          <w:rFonts w:hint="eastAsia" w:ascii="仿宋_GB2312"/>
        </w:rPr>
        <w:fldChar w:fldCharType="separate"/>
      </w:r>
      <w:r>
        <w:rPr>
          <w:rFonts w:ascii="仿宋_GB2312"/>
        </w:rPr>
        <w:t>25</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"_Toc101686480" </w:instrText>
      </w:r>
      <w:r>
        <w:fldChar w:fldCharType="separate"/>
      </w:r>
      <w:r>
        <w:rPr>
          <w:rStyle w:val="26"/>
          <w:rFonts w:hint="eastAsia" w:ascii="仿宋_GB2312"/>
        </w:rPr>
        <w:t>（五）智造新城分区指引</w:t>
      </w:r>
      <w:r>
        <w:rPr>
          <w:rFonts w:hint="eastAsia" w:ascii="仿宋_GB2312"/>
        </w:rPr>
        <w:tab/>
      </w:r>
      <w:r>
        <w:rPr>
          <w:rFonts w:hint="eastAsia" w:ascii="仿宋_GB2312"/>
        </w:rPr>
        <w:fldChar w:fldCharType="begin"/>
      </w:r>
      <w:r>
        <w:rPr>
          <w:rFonts w:hint="eastAsia" w:ascii="仿宋_GB2312"/>
        </w:rPr>
        <w:instrText xml:space="preserve"> PAGEREF _Toc101686480 \h </w:instrText>
      </w:r>
      <w:r>
        <w:rPr>
          <w:rFonts w:hint="eastAsia" w:ascii="仿宋_GB2312"/>
        </w:rPr>
        <w:fldChar w:fldCharType="separate"/>
      </w:r>
      <w:r>
        <w:rPr>
          <w:rFonts w:ascii="仿宋_GB2312"/>
        </w:rPr>
        <w:t>26</w:t>
      </w:r>
      <w:r>
        <w:rPr>
          <w:rFonts w:hint="eastAsia" w:ascii="仿宋_GB2312"/>
        </w:rPr>
        <w:fldChar w:fldCharType="end"/>
      </w:r>
      <w:r>
        <w:rPr>
          <w:rFonts w:hint="eastAsia" w:ascii="仿宋_GB2312"/>
        </w:rPr>
        <w:fldChar w:fldCharType="end"/>
      </w:r>
    </w:p>
    <w:p>
      <w:pPr>
        <w:pStyle w:val="20"/>
        <w:rPr>
          <w:rFonts w:ascii="黑体" w:hAnsi="黑体" w:eastAsia="黑体" w:cstheme="minorBidi"/>
          <w:smallCaps w:val="0"/>
          <w:kern w:val="2"/>
          <w:sz w:val="21"/>
          <w:szCs w:val="22"/>
        </w:rPr>
      </w:pPr>
      <w:r>
        <w:fldChar w:fldCharType="begin"/>
      </w:r>
      <w:r>
        <w:instrText xml:space="preserve"> HYPERLINK \l "_Toc101686481" </w:instrText>
      </w:r>
      <w:r>
        <w:fldChar w:fldCharType="separate"/>
      </w:r>
      <w:r>
        <w:rPr>
          <w:rStyle w:val="26"/>
          <w:rFonts w:hint="eastAsia" w:ascii="黑体" w:hAnsi="黑体" w:eastAsia="黑体"/>
        </w:rPr>
        <w:t>六、</w:t>
      </w:r>
      <w:r>
        <w:rPr>
          <w:rStyle w:val="26"/>
          <w:rFonts w:ascii="黑体" w:hAnsi="黑体" w:eastAsia="黑体"/>
        </w:rPr>
        <w:t>2022</w:t>
      </w:r>
      <w:r>
        <w:rPr>
          <w:rStyle w:val="26"/>
          <w:rFonts w:hint="eastAsia" w:ascii="黑体" w:hAnsi="黑体" w:eastAsia="黑体"/>
        </w:rPr>
        <w:t>年</w:t>
      </w:r>
      <w:r>
        <w:rPr>
          <w:rStyle w:val="26"/>
          <w:rFonts w:ascii="黑体" w:hAnsi="黑体" w:eastAsia="黑体"/>
        </w:rPr>
        <w:t>-2024</w:t>
      </w:r>
      <w:r>
        <w:rPr>
          <w:rStyle w:val="26"/>
          <w:rFonts w:hint="eastAsia" w:ascii="黑体" w:hAnsi="黑体" w:eastAsia="黑体"/>
        </w:rPr>
        <w:t>年三年行动计划</w:t>
      </w:r>
      <w:r>
        <w:rPr>
          <w:rFonts w:ascii="黑体" w:hAnsi="黑体" w:eastAsia="黑体"/>
        </w:rPr>
        <w:tab/>
      </w:r>
      <w:r>
        <w:rPr>
          <w:rFonts w:ascii="黑体" w:hAnsi="黑体" w:eastAsia="黑体"/>
        </w:rPr>
        <w:fldChar w:fldCharType="begin"/>
      </w:r>
      <w:r>
        <w:rPr>
          <w:rFonts w:ascii="黑体" w:hAnsi="黑体" w:eastAsia="黑体"/>
        </w:rPr>
        <w:instrText xml:space="preserve"> PAGEREF _Toc101686481 \h </w:instrText>
      </w:r>
      <w:r>
        <w:rPr>
          <w:rFonts w:ascii="黑体" w:hAnsi="黑体" w:eastAsia="黑体"/>
        </w:rPr>
        <w:fldChar w:fldCharType="separate"/>
      </w:r>
      <w:r>
        <w:rPr>
          <w:rFonts w:ascii="黑体" w:hAnsi="黑体" w:eastAsia="黑体"/>
        </w:rPr>
        <w:t>27</w:t>
      </w:r>
      <w:r>
        <w:rPr>
          <w:rFonts w:ascii="黑体" w:hAnsi="黑体" w:eastAsia="黑体"/>
        </w:rPr>
        <w:fldChar w:fldCharType="end"/>
      </w:r>
      <w:r>
        <w:rPr>
          <w:rFonts w:ascii="黑体" w:hAnsi="黑体" w:eastAsia="黑体"/>
        </w:rPr>
        <w:fldChar w:fldCharType="end"/>
      </w:r>
    </w:p>
    <w:p>
      <w:pPr>
        <w:pStyle w:val="20"/>
        <w:rPr>
          <w:rFonts w:ascii="仿宋_GB2312" w:cstheme="minorBidi"/>
          <w:smallCaps w:val="0"/>
          <w:kern w:val="2"/>
          <w:sz w:val="21"/>
          <w:szCs w:val="22"/>
        </w:rPr>
      </w:pPr>
      <w:r>
        <w:fldChar w:fldCharType="begin"/>
      </w:r>
      <w:r>
        <w:instrText xml:space="preserve"> HYPERLINK \l "_Toc101686482" </w:instrText>
      </w:r>
      <w:r>
        <w:fldChar w:fldCharType="separate"/>
      </w:r>
      <w:r>
        <w:rPr>
          <w:rStyle w:val="26"/>
          <w:rFonts w:hint="eastAsia" w:ascii="仿宋_GB2312"/>
        </w:rPr>
        <w:t>（一）2022年行动计划</w:t>
      </w:r>
      <w:r>
        <w:rPr>
          <w:rFonts w:hint="eastAsia" w:ascii="仿宋_GB2312"/>
        </w:rPr>
        <w:tab/>
      </w:r>
      <w:r>
        <w:rPr>
          <w:rFonts w:hint="eastAsia" w:ascii="仿宋_GB2312"/>
        </w:rPr>
        <w:fldChar w:fldCharType="begin"/>
      </w:r>
      <w:r>
        <w:rPr>
          <w:rFonts w:hint="eastAsia" w:ascii="仿宋_GB2312"/>
        </w:rPr>
        <w:instrText xml:space="preserve"> PAGEREF _Toc101686482 \h </w:instrText>
      </w:r>
      <w:r>
        <w:rPr>
          <w:rFonts w:hint="eastAsia" w:ascii="仿宋_GB2312"/>
        </w:rPr>
        <w:fldChar w:fldCharType="separate"/>
      </w:r>
      <w:r>
        <w:rPr>
          <w:rFonts w:ascii="仿宋_GB2312"/>
        </w:rPr>
        <w:t>28</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"_Toc101686483" </w:instrText>
      </w:r>
      <w:r>
        <w:fldChar w:fldCharType="separate"/>
      </w:r>
      <w:r>
        <w:rPr>
          <w:rStyle w:val="26"/>
          <w:rFonts w:hint="eastAsia" w:ascii="仿宋_GB2312"/>
        </w:rPr>
        <w:t>（二）2023年行动计划</w:t>
      </w:r>
      <w:r>
        <w:rPr>
          <w:rFonts w:hint="eastAsia" w:ascii="仿宋_GB2312"/>
        </w:rPr>
        <w:tab/>
      </w:r>
      <w:r>
        <w:rPr>
          <w:rFonts w:hint="eastAsia" w:ascii="仿宋_GB2312"/>
        </w:rPr>
        <w:fldChar w:fldCharType="begin"/>
      </w:r>
      <w:r>
        <w:rPr>
          <w:rFonts w:hint="eastAsia" w:ascii="仿宋_GB2312"/>
        </w:rPr>
        <w:instrText xml:space="preserve"> PAGEREF _Toc101686483 \h </w:instrText>
      </w:r>
      <w:r>
        <w:rPr>
          <w:rFonts w:hint="eastAsia" w:ascii="仿宋_GB2312"/>
        </w:rPr>
        <w:fldChar w:fldCharType="separate"/>
      </w:r>
      <w:r>
        <w:rPr>
          <w:rFonts w:ascii="仿宋_GB2312"/>
        </w:rPr>
        <w:t>29</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"_Toc101686484" </w:instrText>
      </w:r>
      <w:r>
        <w:fldChar w:fldCharType="separate"/>
      </w:r>
      <w:r>
        <w:rPr>
          <w:rStyle w:val="26"/>
          <w:rFonts w:hint="eastAsia" w:ascii="仿宋_GB2312"/>
        </w:rPr>
        <w:t>（三）2024年行动计划</w:t>
      </w:r>
      <w:r>
        <w:rPr>
          <w:rFonts w:hint="eastAsia" w:ascii="仿宋_GB2312"/>
        </w:rPr>
        <w:tab/>
      </w:r>
      <w:r>
        <w:rPr>
          <w:rFonts w:hint="eastAsia" w:ascii="仿宋_GB2312"/>
        </w:rPr>
        <w:fldChar w:fldCharType="begin"/>
      </w:r>
      <w:r>
        <w:rPr>
          <w:rFonts w:hint="eastAsia" w:ascii="仿宋_GB2312"/>
        </w:rPr>
        <w:instrText xml:space="preserve"> PAGEREF _Toc101686484 \h </w:instrText>
      </w:r>
      <w:r>
        <w:rPr>
          <w:rFonts w:hint="eastAsia" w:ascii="仿宋_GB2312"/>
        </w:rPr>
        <w:fldChar w:fldCharType="separate"/>
      </w:r>
      <w:r>
        <w:rPr>
          <w:rFonts w:ascii="仿宋_GB2312"/>
        </w:rPr>
        <w:t>30</w:t>
      </w:r>
      <w:r>
        <w:rPr>
          <w:rFonts w:hint="eastAsia" w:ascii="仿宋_GB2312"/>
        </w:rPr>
        <w:fldChar w:fldCharType="end"/>
      </w:r>
      <w:r>
        <w:rPr>
          <w:rFonts w:hint="eastAsia" w:ascii="仿宋_GB2312"/>
        </w:rPr>
        <w:fldChar w:fldCharType="end"/>
      </w:r>
    </w:p>
    <w:p>
      <w:pPr>
        <w:pStyle w:val="20"/>
        <w:rPr>
          <w:rFonts w:ascii="黑体" w:hAnsi="黑体" w:eastAsia="黑体" w:cstheme="minorBidi"/>
          <w:smallCaps w:val="0"/>
          <w:kern w:val="2"/>
          <w:sz w:val="21"/>
          <w:szCs w:val="22"/>
        </w:rPr>
      </w:pPr>
      <w:r>
        <w:fldChar w:fldCharType="begin"/>
      </w:r>
      <w:r>
        <w:instrText xml:space="preserve"> HYPERLINK \l "_Toc101686485" </w:instrText>
      </w:r>
      <w:r>
        <w:fldChar w:fldCharType="separate"/>
      </w:r>
      <w:r>
        <w:rPr>
          <w:rStyle w:val="26"/>
          <w:rFonts w:hint="eastAsia" w:ascii="黑体" w:hAnsi="黑体" w:eastAsia="黑体"/>
        </w:rPr>
        <w:t>七、实施保障措施</w:t>
      </w:r>
      <w:r>
        <w:rPr>
          <w:rFonts w:ascii="黑体" w:hAnsi="黑体" w:eastAsia="黑体"/>
        </w:rPr>
        <w:tab/>
      </w:r>
      <w:r>
        <w:rPr>
          <w:rFonts w:ascii="黑体" w:hAnsi="黑体" w:eastAsia="黑体"/>
        </w:rPr>
        <w:fldChar w:fldCharType="begin"/>
      </w:r>
      <w:r>
        <w:rPr>
          <w:rFonts w:ascii="黑体" w:hAnsi="黑体" w:eastAsia="黑体"/>
        </w:rPr>
        <w:instrText xml:space="preserve"> PAGEREF _Toc101686485 \h </w:instrText>
      </w:r>
      <w:r>
        <w:rPr>
          <w:rFonts w:ascii="黑体" w:hAnsi="黑体" w:eastAsia="黑体"/>
        </w:rPr>
        <w:fldChar w:fldCharType="separate"/>
      </w:r>
      <w:r>
        <w:rPr>
          <w:rFonts w:ascii="黑体" w:hAnsi="黑体" w:eastAsia="黑体"/>
        </w:rPr>
        <w:t>31</w:t>
      </w:r>
      <w:r>
        <w:rPr>
          <w:rFonts w:ascii="黑体" w:hAnsi="黑体" w:eastAsia="黑体"/>
        </w:rPr>
        <w:fldChar w:fldCharType="end"/>
      </w:r>
      <w:r>
        <w:rPr>
          <w:rFonts w:ascii="黑体" w:hAnsi="黑体" w:eastAsia="黑体"/>
        </w:rPr>
        <w:fldChar w:fldCharType="end"/>
      </w:r>
    </w:p>
    <w:p>
      <w:pPr>
        <w:pStyle w:val="20"/>
        <w:rPr>
          <w:rFonts w:ascii="仿宋_GB2312" w:cstheme="minorBidi"/>
          <w:smallCaps w:val="0"/>
          <w:kern w:val="2"/>
          <w:sz w:val="21"/>
          <w:szCs w:val="22"/>
        </w:rPr>
      </w:pPr>
      <w:r>
        <w:fldChar w:fldCharType="begin"/>
      </w:r>
      <w:r>
        <w:instrText xml:space="preserve"> HYPERLINK \l "_Toc101686486" </w:instrText>
      </w:r>
      <w:r>
        <w:fldChar w:fldCharType="separate"/>
      </w:r>
      <w:r>
        <w:rPr>
          <w:rStyle w:val="26"/>
          <w:rFonts w:hint="eastAsia" w:ascii="仿宋_GB2312"/>
        </w:rPr>
        <w:t>（一）健全管理机制</w:t>
      </w:r>
      <w:r>
        <w:rPr>
          <w:rFonts w:hint="eastAsia" w:ascii="仿宋_GB2312"/>
        </w:rPr>
        <w:tab/>
      </w:r>
      <w:r>
        <w:rPr>
          <w:rFonts w:hint="eastAsia" w:ascii="仿宋_GB2312"/>
        </w:rPr>
        <w:fldChar w:fldCharType="begin"/>
      </w:r>
      <w:r>
        <w:rPr>
          <w:rFonts w:hint="eastAsia" w:ascii="仿宋_GB2312"/>
        </w:rPr>
        <w:instrText xml:space="preserve"> PAGEREF _Toc101686486 \h </w:instrText>
      </w:r>
      <w:r>
        <w:rPr>
          <w:rFonts w:hint="eastAsia" w:ascii="仿宋_GB2312"/>
        </w:rPr>
        <w:fldChar w:fldCharType="separate"/>
      </w:r>
      <w:r>
        <w:rPr>
          <w:rFonts w:ascii="仿宋_GB2312"/>
        </w:rPr>
        <w:t>31</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"_Toc101686487" </w:instrText>
      </w:r>
      <w:r>
        <w:fldChar w:fldCharType="separate"/>
      </w:r>
      <w:r>
        <w:rPr>
          <w:rStyle w:val="26"/>
          <w:rFonts w:hint="eastAsia" w:ascii="仿宋_GB2312"/>
        </w:rPr>
        <w:t>（二）保障土地供给</w:t>
      </w:r>
      <w:r>
        <w:rPr>
          <w:rFonts w:hint="eastAsia" w:ascii="仿宋_GB2312"/>
        </w:rPr>
        <w:tab/>
      </w:r>
      <w:r>
        <w:rPr>
          <w:rFonts w:hint="eastAsia" w:ascii="仿宋_GB2312"/>
        </w:rPr>
        <w:fldChar w:fldCharType="begin"/>
      </w:r>
      <w:r>
        <w:rPr>
          <w:rFonts w:hint="eastAsia" w:ascii="仿宋_GB2312"/>
        </w:rPr>
        <w:instrText xml:space="preserve"> PAGEREF _Toc101686487 \h </w:instrText>
      </w:r>
      <w:r>
        <w:rPr>
          <w:rFonts w:hint="eastAsia" w:ascii="仿宋_GB2312"/>
        </w:rPr>
        <w:fldChar w:fldCharType="separate"/>
      </w:r>
      <w:r>
        <w:rPr>
          <w:rFonts w:ascii="仿宋_GB2312"/>
        </w:rPr>
        <w:t>32</w:t>
      </w:r>
      <w:r>
        <w:rPr>
          <w:rFonts w:hint="eastAsia" w:ascii="仿宋_GB2312"/>
        </w:rPr>
        <w:fldChar w:fldCharType="end"/>
      </w:r>
      <w:r>
        <w:rPr>
          <w:rFonts w:hint="eastAsia" w:ascii="仿宋_GB2312"/>
        </w:rPr>
        <w:fldChar w:fldCharType="end"/>
      </w:r>
    </w:p>
    <w:p>
      <w:pPr>
        <w:pStyle w:val="20"/>
        <w:rPr>
          <w:rFonts w:ascii="仿宋_GB2312" w:cstheme="minorBidi"/>
          <w:smallCaps w:val="0"/>
          <w:kern w:val="2"/>
          <w:sz w:val="21"/>
          <w:szCs w:val="22"/>
        </w:rPr>
      </w:pPr>
      <w:r>
        <w:fldChar w:fldCharType="begin"/>
      </w:r>
      <w:r>
        <w:instrText xml:space="preserve"> HYPERLINK \l "_Toc101686488" </w:instrText>
      </w:r>
      <w:r>
        <w:fldChar w:fldCharType="separate"/>
      </w:r>
      <w:r>
        <w:rPr>
          <w:rStyle w:val="26"/>
          <w:rFonts w:hint="eastAsia" w:ascii="仿宋_GB2312"/>
        </w:rPr>
        <w:t>（三）落实政策优惠</w:t>
      </w:r>
      <w:r>
        <w:rPr>
          <w:rFonts w:hint="eastAsia" w:ascii="仿宋_GB2312"/>
        </w:rPr>
        <w:tab/>
      </w:r>
      <w:r>
        <w:rPr>
          <w:rFonts w:hint="eastAsia" w:ascii="仿宋_GB2312"/>
        </w:rPr>
        <w:fldChar w:fldCharType="begin"/>
      </w:r>
      <w:r>
        <w:rPr>
          <w:rFonts w:hint="eastAsia" w:ascii="仿宋_GB2312"/>
        </w:rPr>
        <w:instrText xml:space="preserve"> PAGEREF _Toc101686488 \h </w:instrText>
      </w:r>
      <w:r>
        <w:rPr>
          <w:rFonts w:hint="eastAsia" w:ascii="仿宋_GB2312"/>
        </w:rPr>
        <w:fldChar w:fldCharType="separate"/>
      </w:r>
      <w:r>
        <w:rPr>
          <w:rFonts w:ascii="仿宋_GB2312"/>
        </w:rPr>
        <w:t>33</w:t>
      </w:r>
      <w:r>
        <w:rPr>
          <w:rFonts w:hint="eastAsia" w:ascii="仿宋_GB2312"/>
        </w:rPr>
        <w:fldChar w:fldCharType="end"/>
      </w:r>
      <w:r>
        <w:rPr>
          <w:rFonts w:hint="eastAsia" w:ascii="仿宋_GB2312"/>
        </w:rPr>
        <w:fldChar w:fldCharType="end"/>
      </w:r>
    </w:p>
    <w:p>
      <w:pPr>
        <w:pStyle w:val="20"/>
        <w:rPr>
          <w:rStyle w:val="26"/>
          <w:rFonts w:ascii="仿宋_GB2312"/>
        </w:rPr>
      </w:pPr>
      <w:r>
        <w:fldChar w:fldCharType="begin"/>
      </w:r>
      <w:r>
        <w:instrText xml:space="preserve"> HYPERLINK \l "_Toc101686489" </w:instrText>
      </w:r>
      <w:r>
        <w:fldChar w:fldCharType="separate"/>
      </w:r>
      <w:r>
        <w:rPr>
          <w:rStyle w:val="26"/>
          <w:rFonts w:hint="eastAsia" w:ascii="仿宋_GB2312"/>
        </w:rPr>
        <w:t>（四）严格监督管理</w:t>
      </w:r>
      <w:r>
        <w:rPr>
          <w:rFonts w:hint="eastAsia" w:ascii="仿宋_GB2312"/>
        </w:rPr>
        <w:tab/>
      </w:r>
      <w:r>
        <w:rPr>
          <w:rFonts w:hint="eastAsia" w:ascii="仿宋_GB2312"/>
        </w:rPr>
        <w:fldChar w:fldCharType="begin"/>
      </w:r>
      <w:r>
        <w:rPr>
          <w:rFonts w:hint="eastAsia" w:ascii="仿宋_GB2312"/>
        </w:rPr>
        <w:instrText xml:space="preserve"> PAGEREF _Toc101686489 \h </w:instrText>
      </w:r>
      <w:r>
        <w:rPr>
          <w:rFonts w:hint="eastAsia" w:ascii="仿宋_GB2312"/>
        </w:rPr>
        <w:fldChar w:fldCharType="separate"/>
      </w:r>
      <w:r>
        <w:rPr>
          <w:rFonts w:ascii="仿宋_GB2312"/>
        </w:rPr>
        <w:t>33</w:t>
      </w:r>
      <w:r>
        <w:rPr>
          <w:rFonts w:hint="eastAsia" w:ascii="仿宋_GB2312"/>
        </w:rPr>
        <w:fldChar w:fldCharType="end"/>
      </w:r>
      <w:r>
        <w:rPr>
          <w:rFonts w:hint="eastAsia" w:ascii="仿宋_GB2312"/>
        </w:rPr>
        <w:fldChar w:fldCharType="end"/>
      </w:r>
    </w:p>
    <w:p>
      <w:pPr>
        <w:pStyle w:val="16"/>
        <w:sectPr>
          <w:footerReference r:id="rId11" w:type="default"/>
          <w:pgSz w:w="12240" w:h="15840"/>
          <w:pgMar w:top="1440" w:right="1800" w:bottom="1440" w:left="1800" w:header="720" w:footer="720" w:gutter="0"/>
          <w:cols w:space="720" w:num="1"/>
        </w:sectPr>
      </w:pPr>
      <w:r>
        <w:fldChar w:fldCharType="end"/>
      </w:r>
      <w:r>
        <w:br w:type="page"/>
      </w:r>
    </w:p>
    <w:p>
      <w:pPr>
        <w:pStyle w:val="2"/>
        <w:spacing w:before="240"/>
        <w:rPr>
          <w:sz w:val="40"/>
          <w:szCs w:val="48"/>
        </w:rPr>
      </w:pPr>
      <w:bookmarkStart w:id="45" w:name="_Toc101260900"/>
      <w:bookmarkStart w:id="46" w:name="_Toc101558077"/>
      <w:bookmarkStart w:id="47" w:name="_Toc100759065"/>
      <w:bookmarkStart w:id="48" w:name="_Toc98246795"/>
      <w:bookmarkStart w:id="49" w:name="_Toc100676563"/>
      <w:bookmarkStart w:id="50" w:name="_Toc101430488"/>
      <w:bookmarkStart w:id="51" w:name="_Toc95982881"/>
      <w:bookmarkStart w:id="52" w:name="_Toc101686455"/>
      <w:bookmarkStart w:id="53" w:name="_Toc98228798"/>
      <w:bookmarkStart w:id="54" w:name="_Toc91712360"/>
      <w:bookmarkStart w:id="55" w:name="_Toc91749987"/>
      <w:r>
        <w:rPr>
          <w:rFonts w:hint="eastAsia"/>
          <w:sz w:val="40"/>
          <w:szCs w:val="48"/>
        </w:rPr>
        <w:t>衢州市区保障性租赁住房“十四五”专项规划及</w:t>
      </w:r>
      <w:bookmarkEnd w:id="45"/>
      <w:bookmarkEnd w:id="46"/>
      <w:bookmarkEnd w:id="47"/>
      <w:bookmarkEnd w:id="48"/>
      <w:bookmarkEnd w:id="49"/>
      <w:bookmarkEnd w:id="50"/>
      <w:bookmarkEnd w:id="51"/>
      <w:bookmarkEnd w:id="52"/>
      <w:bookmarkEnd w:id="53"/>
      <w:bookmarkEnd w:id="54"/>
      <w:bookmarkEnd w:id="55"/>
      <w:bookmarkStart w:id="56" w:name="_Toc101260901"/>
      <w:bookmarkStart w:id="57" w:name="_Toc101686456"/>
      <w:bookmarkStart w:id="58" w:name="_Toc101558078"/>
      <w:bookmarkStart w:id="59" w:name="_Toc91749988"/>
      <w:bookmarkStart w:id="60" w:name="_Toc98228799"/>
      <w:bookmarkStart w:id="61" w:name="_Toc100759066"/>
      <w:bookmarkStart w:id="62" w:name="_Toc100676564"/>
      <w:bookmarkStart w:id="63" w:name="_Toc98246796"/>
      <w:bookmarkStart w:id="64" w:name="_Toc95982882"/>
      <w:bookmarkStart w:id="65" w:name="_Toc91712361"/>
      <w:bookmarkStart w:id="66" w:name="_Toc101430489"/>
      <w:r>
        <w:rPr>
          <w:rFonts w:hint="eastAsia"/>
          <w:sz w:val="40"/>
          <w:szCs w:val="48"/>
        </w:rPr>
        <w:t>2022年-2024年三年行动计划</w:t>
      </w:r>
      <w:bookmarkEnd w:id="56"/>
      <w:bookmarkEnd w:id="57"/>
      <w:bookmarkEnd w:id="58"/>
      <w:bookmarkEnd w:id="59"/>
      <w:bookmarkEnd w:id="60"/>
      <w:bookmarkEnd w:id="61"/>
      <w:bookmarkEnd w:id="62"/>
      <w:bookmarkEnd w:id="63"/>
      <w:bookmarkEnd w:id="64"/>
      <w:bookmarkEnd w:id="65"/>
      <w:bookmarkEnd w:id="66"/>
      <w:r>
        <w:rPr>
          <w:rFonts w:hint="eastAsia"/>
          <w:sz w:val="40"/>
          <w:szCs w:val="48"/>
        </w:rPr>
        <w:t xml:space="preserve"> </w:t>
      </w:r>
    </w:p>
    <w:p>
      <w:pPr>
        <w:spacing w:before="120"/>
      </w:pPr>
      <w:r>
        <w:t>“十四五”时期是我国</w:t>
      </w:r>
      <w:r>
        <w:fldChar w:fldCharType="begin"/>
      </w:r>
      <w:r>
        <w:instrText xml:space="preserve"> HYPERLINK "https://baike.sogou.com/lemma/ShowInnerLink.htm?lemmaId=73625955&amp;ss_c=ssc.citiao.link" \t "_blank" </w:instrText>
      </w:r>
      <w:r>
        <w:fldChar w:fldCharType="separate"/>
      </w:r>
      <w:r>
        <w:t>全面建成小康社会</w:t>
      </w:r>
      <w:r>
        <w:fldChar w:fldCharType="end"/>
      </w:r>
      <w:r>
        <w:t>、实现第一个百年奋斗目标之后，乘势而上开启全面建设社会主义现代化国家新征程、向第二个百年奋斗目标进军的第一个五年。</w:t>
      </w:r>
      <w:r>
        <w:rPr>
          <w:rFonts w:hint="eastAsia"/>
        </w:rPr>
        <w:t>为加快构建多主体供给、多渠道保障、租购并举的住房制度，</w:t>
      </w:r>
      <w:r>
        <w:rPr>
          <w:rFonts w:hint="eastAsia"/>
          <w:shd w:val="clear" w:color="auto" w:fill="FFFFFF"/>
        </w:rPr>
        <w:t>解决新市民、青年人等群体的住房困难问题</w:t>
      </w:r>
      <w:r>
        <w:rPr>
          <w:rFonts w:hint="eastAsia"/>
        </w:rPr>
        <w:t>，推动实现住有所居、住有宜居、职住平衡，不断满足人民日益增长的美好生活需要，根据《衢州市国民经济和社会发展第十四个五年计划</w:t>
      </w:r>
      <w:r>
        <w:t>纲要》，制定本规划。</w:t>
      </w:r>
    </w:p>
    <w:p>
      <w:pPr>
        <w:spacing w:before="120"/>
      </w:pPr>
      <w:r>
        <w:rPr>
          <w:rFonts w:hint="eastAsia"/>
        </w:rPr>
        <w:t>本规划主要阐明衢州市区保障性租赁住房发展的现实基础，提出“十四五”时期的发展目标，明确保障性租赁住房发展的主要任务和政策措施，是指导保障性租赁住房供给、引导相关政策制定与资源合理配置的重要依据。规划范围为衢州市区（柯城区和衢江区）。以中心城区为重点安排保障性租赁住房建设，并划分为柯城城区（含航埠镇、九华乡）、衢江城区、智慧新城、智造新城四个功能单元。</w:t>
      </w:r>
    </w:p>
    <w:p>
      <w:pPr>
        <w:spacing w:before="120"/>
      </w:pPr>
    </w:p>
    <w:p>
      <w:pPr>
        <w:spacing w:before="120"/>
      </w:pPr>
    </w:p>
    <w:p>
      <w:pPr>
        <w:spacing w:before="120"/>
      </w:pPr>
    </w:p>
    <w:p>
      <w:pPr>
        <w:pStyle w:val="3"/>
        <w:spacing w:before="120"/>
        <w:ind w:firstLine="0" w:firstLineChars="0"/>
      </w:pPr>
      <w:bookmarkStart w:id="67" w:name="_Toc101686457"/>
      <w:r>
        <w:rPr>
          <w:rFonts w:hint="eastAsia"/>
        </w:rPr>
        <w:t>一、规划背景与意义</w:t>
      </w:r>
      <w:bookmarkEnd w:id="67"/>
    </w:p>
    <w:p>
      <w:pPr>
        <w:pStyle w:val="3"/>
        <w:spacing w:before="120"/>
        <w:ind w:firstLine="321" w:firstLineChars="100"/>
      </w:pPr>
      <w:bookmarkStart w:id="68" w:name="_Toc101686458"/>
      <w:r>
        <w:rPr>
          <w:rFonts w:hint="eastAsia"/>
        </w:rPr>
        <w:t>（一</w:t>
      </w:r>
      <w:r>
        <w:t>）发展保障性租赁住房是党中央、国务院的重要部署</w:t>
      </w:r>
      <w:bookmarkEnd w:id="68"/>
    </w:p>
    <w:p>
      <w:pPr>
        <w:spacing w:before="120"/>
      </w:pPr>
      <w:r>
        <w:t>2020年10月，党的十九届五中全会要求扩大保障性租赁住房供给。2020年12月中央经济工作会议指出，住房问题关系民生福祉，要高度重视保障性租赁住房建设。</w:t>
      </w:r>
      <w:r>
        <w:rPr>
          <w:rFonts w:hint="eastAsia"/>
        </w:rPr>
        <w:t>《中共中央关于制定国民经济和社会发展第十四个五年规划和二</w:t>
      </w:r>
      <w:r>
        <w:rPr>
          <w:rFonts w:hint="eastAsia" w:ascii="微软雅黑" w:hAnsi="微软雅黑" w:eastAsia="微软雅黑" w:cs="微软雅黑"/>
        </w:rPr>
        <w:t>〇</w:t>
      </w:r>
      <w:r>
        <w:rPr>
          <w:rFonts w:hint="eastAsia" w:hAnsi="仿宋_GB2312" w:cs="仿宋_GB2312"/>
        </w:rPr>
        <w:t>三五年远景目标的建议》</w:t>
      </w:r>
      <w:r>
        <w:t>明确，“以人口流入多、房价高的城市为重点，扩大保障性租赁住房供给，着力解决困难群体和新市民住房问题”。2021年6月24日，国务院办公厅印发《关于加快发展保障性租赁住房的意见》，其中提出，新市民、青年人等群体住房困难问题仍然比较突出，需加快完善以公租房、保障性租赁住房和共有产权住房为主体的住房保障体系。在加快发展保障性租赁住房和进一步做好</w:t>
      </w:r>
      <w:r>
        <w:rPr>
          <w:rFonts w:hint="eastAsia"/>
        </w:rPr>
        <w:t>房地产市场调控工作电视电话会议上，韩正副总理强调把发展保障性租赁住房作为“十四五”住房建设的重点任务，坚持一切从实际出发，解决好大城市的住房突出问题。</w:t>
      </w:r>
    </w:p>
    <w:p>
      <w:pPr>
        <w:spacing w:before="120"/>
      </w:pPr>
      <w:r>
        <w:rPr>
          <w:rFonts w:hint="eastAsia"/>
        </w:rPr>
        <w:t>同时，双循环发展新格局要求降低居住成本。“十四五”时期，我国将加快形成以国内大循环为主体、国内国际双循环相互促进的新发展格局。房价和租金是城市经济运行的基础性成本，高房价和高租金会带动劳动力等其它要素成本上升，削弱城市竞争力，抑制居民消费。发展保障性租赁住房，</w:t>
      </w:r>
      <w:r>
        <w:t>引导有住房困难的新市民、青年人，由以“购”为主，向以“租”为主转变，</w:t>
      </w:r>
      <w:r>
        <w:rPr>
          <w:rFonts w:hint="eastAsia"/>
        </w:rPr>
        <w:t>解决新市民、青年人住房问题，降低其居住成本，释放消费潜力，既是落实“房住不炒”、促进房地产市场平稳健康发展的重要举措，也是促进房地产行业对经济贡献方式转型升级、住房与实体经济协调发展的重要抓手，进而为加快形成以国内大循环为主体，国内国际双循环相互促进的新发展格局提供有力支撑。</w:t>
      </w:r>
    </w:p>
    <w:p>
      <w:pPr>
        <w:pStyle w:val="3"/>
        <w:spacing w:before="120"/>
      </w:pPr>
      <w:bookmarkStart w:id="69" w:name="_Toc101686459"/>
      <w:r>
        <w:rPr>
          <w:rFonts w:hint="eastAsia"/>
        </w:rPr>
        <w:t>（二</w:t>
      </w:r>
      <w:r>
        <w:t>）</w:t>
      </w:r>
      <w:r>
        <w:rPr>
          <w:rFonts w:hint="eastAsia"/>
        </w:rPr>
        <w:t>利用存量土地和存量房屋资源建设保障性租赁住房是城市更新行动的重要组成</w:t>
      </w:r>
      <w:bookmarkEnd w:id="69"/>
    </w:p>
    <w:p>
      <w:pPr>
        <w:spacing w:before="120"/>
        <w:rPr>
          <w:rFonts w:hAnsi="仿宋_GB2312" w:cs="仿宋_GB2312"/>
        </w:rPr>
      </w:pPr>
      <w:r>
        <w:rPr>
          <w:rFonts w:hint="eastAsia"/>
        </w:rPr>
        <w:t>《中共中央关于制定国民经济和社会发展第十四个五年规划和二</w:t>
      </w:r>
      <w:r>
        <w:rPr>
          <w:rFonts w:hint="eastAsia" w:ascii="微软雅黑" w:hAnsi="微软雅黑" w:eastAsia="微软雅黑" w:cs="微软雅黑"/>
        </w:rPr>
        <w:t>〇</w:t>
      </w:r>
      <w:r>
        <w:rPr>
          <w:rFonts w:hint="eastAsia" w:hAnsi="仿宋_GB2312" w:cs="仿宋_GB2312"/>
        </w:rPr>
        <w:t>三五年远景目标的建议》明确提出实施城市更新行动，这是对进一步提升我国城市发展质量作出的重大决策部署。实施城市更新行动，推动城市结构调整优化和品质提升，转变城市开发建设方式，对于全面提升城市发展质量、不断满足人民群众日益增长的美好生活需要、促进经济社会持续健康发展，具有重要而深远的意义。通过保障性租赁住房建设，盘活存量土地和房屋资源，是城市更新行动的重要组成。</w:t>
      </w:r>
    </w:p>
    <w:p>
      <w:pPr>
        <w:spacing w:before="120"/>
        <w:rPr>
          <w:rFonts w:hAnsi="仿宋_GB2312" w:cs="仿宋_GB2312"/>
        </w:rPr>
      </w:pPr>
      <w:r>
        <w:rPr>
          <w:rFonts w:hAnsi="仿宋_GB2312" w:cs="仿宋_GB2312"/>
        </w:rPr>
        <w:t>发展</w:t>
      </w:r>
      <w:r>
        <w:rPr>
          <w:rFonts w:hint="eastAsia" w:hAnsi="仿宋_GB2312" w:cs="仿宋_GB2312"/>
        </w:rPr>
        <w:t>保障性租赁住房可以有效利用集体经营性建设用地、企事业单位自有闲置土地、产业园区配套用地、存量闲置房屋、新供应国有建设用地等各类资源，这不仅能满足租赁市场发展</w:t>
      </w:r>
      <w:r>
        <w:rPr>
          <w:rFonts w:hAnsi="仿宋_GB2312" w:cs="仿宋_GB2312"/>
        </w:rPr>
        <w:t>用地</w:t>
      </w:r>
      <w:r>
        <w:rPr>
          <w:rFonts w:hint="eastAsia" w:hAnsi="仿宋_GB2312" w:cs="仿宋_GB2312"/>
        </w:rPr>
        <w:t>的需求，有效破解保障性租赁住房项目发展土地利用成本的问题，并且还盘活了存量土地和存量房屋等资产，提高其利用效率。更重要的是，有利于推进城市更新行动，促进城市发展进入内涵式发展时代，为城市优化公共服务、改善人居环境、腾挪空间承载力、提升城市品质提供良好的契机。</w:t>
      </w:r>
    </w:p>
    <w:p>
      <w:pPr>
        <w:pStyle w:val="3"/>
        <w:spacing w:before="120"/>
      </w:pPr>
      <w:bookmarkStart w:id="70" w:name="_Toc101686460"/>
      <w:r>
        <w:rPr>
          <w:rFonts w:hint="eastAsia"/>
        </w:rPr>
        <w:t>（三）</w:t>
      </w:r>
      <w:r>
        <w:t>发展保障性租赁住房是浙江省推进共同富裕示范区建设，高质量打造“浙里安居”样板的重要行动</w:t>
      </w:r>
      <w:bookmarkEnd w:id="70"/>
    </w:p>
    <w:p>
      <w:pPr>
        <w:spacing w:before="120"/>
      </w:pPr>
      <w:r>
        <w:t>2021</w:t>
      </w:r>
      <w:r>
        <w:rPr>
          <w:rFonts w:hint="eastAsia"/>
        </w:rPr>
        <w:t>年</w:t>
      </w:r>
      <w:r>
        <w:t>6月，中央赋予浙江高质量发展建设共同富裕示范区的光荣使命，此后，浙江省住房和城乡建设厅印发《关于打造住房城乡建设高质量发展省域样板推进共同富裕示范区建设行动方案（2021-2025年）》，要求聚焦研究解决当前住房工作中存在的不平衡不充分问题，针对新市民、低收入困难群众等重点群体，有效增加保障性住房供给。</w:t>
      </w:r>
    </w:p>
    <w:p>
      <w:pPr>
        <w:spacing w:before="120"/>
      </w:pPr>
      <w:r>
        <w:t>发展保障性租赁住房，能够解决新市民</w:t>
      </w:r>
      <w:r>
        <w:rPr>
          <w:rFonts w:hint="eastAsia"/>
        </w:rPr>
        <w:t>、</w:t>
      </w:r>
      <w:r>
        <w:t>青年人的住房问题，改善居住条件，促进实现全体人民住有所居，高质量打造“浙里安居”品牌。按照</w:t>
      </w:r>
      <w:r>
        <w:rPr>
          <w:rFonts w:hint="eastAsia"/>
        </w:rPr>
        <w:t>《浙江省人民政府办公厅关于加快发展保障性租赁住房的指导意见》（浙政办发〔</w:t>
      </w:r>
      <w:r>
        <w:t>2021</w:t>
      </w:r>
      <w:r>
        <w:rPr>
          <w:rFonts w:hint="eastAsia"/>
        </w:rPr>
        <w:t>〕</w:t>
      </w:r>
      <w:r>
        <w:t>59</w:t>
      </w:r>
      <w:r>
        <w:rPr>
          <w:rFonts w:hint="eastAsia"/>
        </w:rPr>
        <w:t>号）要求，衢州市作为省重点发展城市，新增保障性租赁住房供应套（间）数占新增住房供应套（间）数的比例需达到</w:t>
      </w:r>
      <w:r>
        <w:t>15</w:t>
      </w:r>
      <w:r>
        <w:rPr>
          <w:rFonts w:hint="eastAsia"/>
        </w:rPr>
        <w:t>％以上</w:t>
      </w:r>
      <w:r>
        <w:t>。</w:t>
      </w:r>
    </w:p>
    <w:p>
      <w:pPr>
        <w:pStyle w:val="3"/>
        <w:spacing w:before="120"/>
      </w:pPr>
      <w:bookmarkStart w:id="71" w:name="_Toc101686461"/>
      <w:r>
        <w:rPr>
          <w:rFonts w:hint="eastAsia"/>
        </w:rPr>
        <w:t>（四</w:t>
      </w:r>
      <w:r>
        <w:t>）发展保障性租赁住房是衢州市增强人才吸引力、提升城市竞争力、</w:t>
      </w:r>
      <w:r>
        <w:rPr>
          <w:rFonts w:hint="eastAsia"/>
        </w:rPr>
        <w:t>建设青年发展型城市</w:t>
      </w:r>
      <w:r>
        <w:t>的重要抓手</w:t>
      </w:r>
      <w:bookmarkEnd w:id="71"/>
    </w:p>
    <w:p>
      <w:pPr>
        <w:spacing w:before="120"/>
      </w:pPr>
      <w:r>
        <w:rPr>
          <w:rFonts w:hint="eastAsia"/>
        </w:rPr>
        <w:t>保障性租赁住房是服务人才引领发展战略、提高城市竞争力和可持续发展的必然要求。在</w:t>
      </w:r>
      <w:r>
        <w:t>2021年7月8日，国务院新闻办公室组织的国务院政策例行吹风会上，住房和城乡建设部副部长倪虹</w:t>
      </w:r>
      <w:r>
        <w:rPr>
          <w:rFonts w:hint="eastAsia"/>
        </w:rPr>
        <w:t>强调城市要加快发展保障性租赁住房，</w:t>
      </w:r>
      <w:r>
        <w:t>解决新市民、青年人的住房问题</w:t>
      </w:r>
      <w:r>
        <w:rPr>
          <w:rFonts w:hint="eastAsia"/>
        </w:rPr>
        <w:t>，</w:t>
      </w:r>
      <w:r>
        <w:t>以支撑城镇化进程健康发展。“关键是城市政府怎么看这个问题。是要我做，还是我要做；是我要给年轻人、新市民解决住房问题，还是党中央、国务院，要求我这么做。一方水土养一方人，人才是一个城市的核心竞争力。一个城市，青年人有希望，城市才</w:t>
      </w:r>
      <w:r>
        <w:rPr>
          <w:rFonts w:hint="eastAsia"/>
        </w:rPr>
        <w:t>有未来，青年人有希望，国家才有未来。”</w:t>
      </w:r>
    </w:p>
    <w:p>
      <w:pPr>
        <w:spacing w:before="120"/>
      </w:pPr>
      <w:r>
        <w:rPr>
          <w:rFonts w:hint="eastAsia"/>
        </w:rPr>
        <w:t>2</w:t>
      </w:r>
      <w:r>
        <w:t>022</w:t>
      </w:r>
      <w:r>
        <w:rPr>
          <w:rFonts w:hint="eastAsia"/>
        </w:rPr>
        <w:t>年4月，中央宣传部、国家民委、共青团中央等</w:t>
      </w:r>
      <w:r>
        <w:t>17部门联合印发《关于开展青年发展型城市建设试点的意见》</w:t>
      </w:r>
      <w:r>
        <w:rPr>
          <w:rFonts w:hint="eastAsia"/>
        </w:rPr>
        <w:t>，要求加大保障性租赁住房供给力度，着力优化保障青年基本住房需求的青年发展型城市居住环境。</w:t>
      </w:r>
    </w:p>
    <w:p>
      <w:pPr>
        <w:spacing w:before="120"/>
      </w:pPr>
      <w:r>
        <w:rPr>
          <w:rFonts w:hint="eastAsia"/>
        </w:rPr>
        <w:t>衢州市“十四五”规划提出建设四省边际人才集聚桥头堡战略，建强高素质人才队伍的要求。随着流动人口和人才的进一步集聚，面向新市民和青年人的保障性租赁住房需求将显著增加。</w:t>
      </w:r>
      <w:r>
        <w:t>发展保障性租赁住房，让“人才来了有房住”，将成为衢州</w:t>
      </w:r>
      <w:r>
        <w:rPr>
          <w:rFonts w:hint="eastAsia"/>
        </w:rPr>
        <w:t>增强城市竞争力和吸引力、让城市对青年更友好、促进青年高质量发展</w:t>
      </w:r>
      <w:r>
        <w:t>的重要途径之一。</w:t>
      </w:r>
    </w:p>
    <w:p>
      <w:pPr>
        <w:spacing w:before="120"/>
      </w:pPr>
    </w:p>
    <w:p>
      <w:pPr>
        <w:pStyle w:val="3"/>
        <w:spacing w:before="120"/>
        <w:ind w:firstLine="0" w:firstLineChars="0"/>
      </w:pPr>
      <w:bookmarkStart w:id="72" w:name="_Toc101686462"/>
      <w:r>
        <w:rPr>
          <w:rFonts w:hint="eastAsia"/>
        </w:rPr>
        <w:t>二、发展基础与存在问题</w:t>
      </w:r>
      <w:bookmarkEnd w:id="72"/>
    </w:p>
    <w:p>
      <w:pPr>
        <w:pStyle w:val="3"/>
        <w:spacing w:before="120"/>
      </w:pPr>
      <w:bookmarkStart w:id="73" w:name="_Toc101686463"/>
      <w:r>
        <w:rPr>
          <w:rFonts w:hint="eastAsia"/>
        </w:rPr>
        <w:t>（一）发展基础</w:t>
      </w:r>
      <w:bookmarkEnd w:id="73"/>
    </w:p>
    <w:p>
      <w:pPr>
        <w:spacing w:before="120"/>
        <w:ind w:firstLine="643"/>
        <w:rPr>
          <w:rFonts w:ascii="仿宋" w:eastAsia="仿宋"/>
          <w:szCs w:val="28"/>
        </w:rPr>
      </w:pPr>
      <w:r>
        <w:rPr>
          <w:rFonts w:hint="eastAsia"/>
          <w:b/>
        </w:rPr>
        <w:t>城镇居民住房水平显著提升，</w:t>
      </w:r>
      <w:bookmarkStart w:id="74" w:name="_Toc60058079"/>
      <w:bookmarkStart w:id="75" w:name="_Toc56666918"/>
      <w:r>
        <w:rPr>
          <w:rFonts w:hint="eastAsia"/>
          <w:b/>
        </w:rPr>
        <w:t>居住品质持续改善</w:t>
      </w:r>
      <w:bookmarkEnd w:id="74"/>
      <w:bookmarkEnd w:id="75"/>
      <w:r>
        <w:rPr>
          <w:rFonts w:hint="eastAsia"/>
          <w:b/>
        </w:rPr>
        <w:t>。</w:t>
      </w:r>
      <w:r>
        <w:rPr>
          <w:rFonts w:hint="eastAsia"/>
          <w:szCs w:val="28"/>
        </w:rPr>
        <w:t>2019年末衢州自有住房面积约2098万平方米，同比增长22.3%。截至2020年末，衢州市城镇居民人均住房面积为51.8平方米，高于全国城镇居民人均住房面积的39.8平方米和浙江省的48.5平方米水平。同时，衢州市积极推进城镇危房旧房治理和老旧小区改造工作，不断改善居民居住条件。</w:t>
      </w:r>
    </w:p>
    <w:p>
      <w:pPr>
        <w:spacing w:before="120"/>
        <w:ind w:firstLine="643"/>
      </w:pPr>
      <w:r>
        <w:rPr>
          <w:rFonts w:hint="eastAsia"/>
          <w:b/>
        </w:rPr>
        <w:t>住房保障不断加强，公租房保障实现应保尽保。</w:t>
      </w:r>
      <w:r>
        <w:rPr>
          <w:rFonts w:hint="eastAsia"/>
        </w:rPr>
        <w:t>截至</w:t>
      </w:r>
      <w:r>
        <w:t>2021年</w:t>
      </w:r>
      <w:r>
        <w:rPr>
          <w:rFonts w:hint="eastAsia"/>
        </w:rPr>
        <w:t>，衢州市本级公租房</w:t>
      </w:r>
      <w:r>
        <w:t>累计保障家庭5536户，受益人数8898人，</w:t>
      </w:r>
      <w:r>
        <w:rPr>
          <w:rFonts w:hint="eastAsia"/>
        </w:rPr>
        <w:t>其中</w:t>
      </w:r>
      <w:r>
        <w:t>公租房租赁补贴在保940户。市本级公租房共有1802套，目前已配租1650套，实物配租出租率高于90%，公租房系统处于满额运行状态。公租房配租对象已涵盖新就业大学生和外来务工人员</w:t>
      </w:r>
      <w:r>
        <w:rPr>
          <w:rFonts w:hint="eastAsia"/>
        </w:rPr>
        <w:t>，</w:t>
      </w:r>
      <w:r>
        <w:t>承担了一部分新市民的住房保障责任</w:t>
      </w:r>
      <w:r>
        <w:rPr>
          <w:rFonts w:hint="eastAsia"/>
        </w:rPr>
        <w:t>，</w:t>
      </w:r>
      <w:r>
        <w:t>截至2021年8月，市本级公租房已累计保障新就业和外来务工人员239户。此</w:t>
      </w:r>
      <w:r>
        <w:rPr>
          <w:rFonts w:hint="eastAsia"/>
        </w:rPr>
        <w:t>外，</w:t>
      </w:r>
      <w:r>
        <w:t>2017年5月颁布实施的《衢州市本级高层次人才公共租赁住房申请管理办法（暂行）》，将部分政府投资建设的公租房调剂用于人才住房保障，通过提供人才公租房等方式解决高层次人才暂时性的住房困难问题。</w:t>
      </w:r>
    </w:p>
    <w:p>
      <w:pPr>
        <w:spacing w:before="120"/>
        <w:ind w:firstLine="643"/>
      </w:pPr>
      <w:r>
        <w:rPr>
          <w:rFonts w:hint="eastAsia"/>
          <w:b/>
        </w:rPr>
        <w:t>人才公寓建设具有一定基础。</w:t>
      </w:r>
      <w:r>
        <w:t>人才公寓的保障对象主要是重点保障</w:t>
      </w:r>
      <w:r>
        <w:rPr>
          <w:rFonts w:hint="eastAsia"/>
        </w:rPr>
        <w:t>《中共衢州市委</w:t>
      </w:r>
      <w:r>
        <w:t xml:space="preserve"> </w:t>
      </w:r>
      <w:r>
        <w:rPr>
          <w:rFonts w:hint="eastAsia"/>
        </w:rPr>
        <w:t>衢州市人民政府关于打造更优人才生态推动衢州大发展快发展高质量发展的意见》（</w:t>
      </w:r>
      <w:r>
        <w:t>衢委发〔2020〕7号</w:t>
      </w:r>
      <w:r>
        <w:rPr>
          <w:rFonts w:hint="eastAsia"/>
        </w:rPr>
        <w:t>）</w:t>
      </w:r>
      <w:r>
        <w:t>中的高层次人才分类目录中</w:t>
      </w:r>
      <w:r>
        <w:rPr>
          <w:rFonts w:hint="eastAsia"/>
        </w:rPr>
        <w:t>各</w:t>
      </w:r>
      <w:r>
        <w:t>类人才，规模以上企业、高新技术企业、平台型企业等引进的高级管理人员，企事业单位引进的急需紧缺专业全日制本科毕业生等人才。</w:t>
      </w:r>
      <w:r>
        <w:rPr>
          <w:rFonts w:hint="eastAsia"/>
        </w:rPr>
        <w:t>目前衢州市本级有人才公寓</w:t>
      </w:r>
      <w:r>
        <w:t>327套，其中智慧新城有260套，占比近80%。智造新城</w:t>
      </w:r>
      <w:r>
        <w:rPr>
          <w:rFonts w:hint="eastAsia"/>
        </w:rPr>
        <w:t>有</w:t>
      </w:r>
      <w:r>
        <w:t>人才公寓762套，主要分布在白沙和东港片区，出租率近90%。</w:t>
      </w:r>
    </w:p>
    <w:p>
      <w:pPr>
        <w:spacing w:before="120"/>
        <w:ind w:firstLine="643"/>
      </w:pPr>
      <w:r>
        <w:rPr>
          <w:rFonts w:hint="eastAsia"/>
          <w:b/>
        </w:rPr>
        <w:t>中心城区人口快速集聚。</w:t>
      </w:r>
      <w:r>
        <w:rPr>
          <w:rFonts w:hint="eastAsia"/>
        </w:rPr>
        <w:t>2</w:t>
      </w:r>
      <w:r>
        <w:t>020</w:t>
      </w:r>
      <w:r>
        <w:rPr>
          <w:rFonts w:hint="eastAsia"/>
        </w:rPr>
        <w:t>年衢州市中心城区人口达到</w:t>
      </w:r>
      <w:r>
        <w:t>63</w:t>
      </w:r>
      <w:r>
        <w:rPr>
          <w:rFonts w:hint="eastAsia"/>
        </w:rPr>
        <w:t>.</w:t>
      </w:r>
      <w:r>
        <w:t>9</w:t>
      </w:r>
      <w:r>
        <w:rPr>
          <w:rFonts w:hint="eastAsia"/>
        </w:rPr>
        <w:t>万人，比六普增加约13万人，中心城区是市区人口增长的主要区域。流动人口增加速度在浙江位列前茅，据浙江省流动人口居住信息管理系统统计，</w:t>
      </w:r>
      <w:r>
        <w:t>2020年衢州市登记在册流动人口达29.26万人，同比增加6.8万人，增幅达30.3%，居浙江省各市第一</w:t>
      </w:r>
      <w:r>
        <w:rPr>
          <w:rFonts w:hint="eastAsia"/>
        </w:rPr>
        <w:t>。市区流动人口达到17.4万人，占全市流动人口的60%。同时，随着城市人才引进工作的开展，衢州人才吸引力也显著提升，</w:t>
      </w:r>
      <w:r>
        <w:t>根据市委人才</w:t>
      </w:r>
      <w:r>
        <w:rPr>
          <w:rFonts w:hint="eastAsia"/>
        </w:rPr>
        <w:t>办资料显示，2</w:t>
      </w:r>
      <w:r>
        <w:t>020</w:t>
      </w:r>
      <w:r>
        <w:rPr>
          <w:rFonts w:hint="eastAsia"/>
        </w:rPr>
        <w:t>年全市人才资源总量达到</w:t>
      </w:r>
      <w:r>
        <w:t>44.43</w:t>
      </w:r>
      <w:r>
        <w:rPr>
          <w:rFonts w:hint="eastAsia"/>
        </w:rPr>
        <w:t>万人，每万名劳动力中研发人员为</w:t>
      </w:r>
      <w:r>
        <w:t>79</w:t>
      </w:r>
      <w:r>
        <w:rPr>
          <w:rFonts w:hint="eastAsia"/>
        </w:rPr>
        <w:t>人年，高技能人才占技能劳动者比例为</w:t>
      </w:r>
      <w:r>
        <w:t>29.6%。</w:t>
      </w:r>
    </w:p>
    <w:p>
      <w:pPr>
        <w:pStyle w:val="3"/>
        <w:spacing w:before="120"/>
      </w:pPr>
      <w:bookmarkStart w:id="76" w:name="_Toc101686464"/>
      <w:r>
        <w:rPr>
          <w:rFonts w:hint="eastAsia"/>
        </w:rPr>
        <w:t>（二）存在问题</w:t>
      </w:r>
      <w:bookmarkEnd w:id="76"/>
    </w:p>
    <w:p>
      <w:pPr>
        <w:spacing w:before="120"/>
        <w:ind w:firstLine="643"/>
        <w:rPr>
          <w:rFonts w:hAnsi="仿宋_GB2312" w:cs="仿宋_GB2312"/>
        </w:rPr>
      </w:pPr>
      <w:r>
        <w:rPr>
          <w:rFonts w:hint="eastAsia"/>
          <w:b/>
        </w:rPr>
        <w:t>商品住房价格连续上涨，居民支付压力加大。</w:t>
      </w:r>
      <w:r>
        <w:rPr>
          <w:rFonts w:hint="eastAsia"/>
        </w:rPr>
        <w:t>“十三五”期间，衢州市商品房住宅价格连续五年上涨，年住房均价从</w:t>
      </w:r>
      <w:r>
        <w:t>2016年的8385元/</w:t>
      </w:r>
      <w:r>
        <w:rPr>
          <w:rFonts w:hint="eastAsia" w:ascii="Segoe UI Symbol" w:hAnsi="Segoe UI Symbol" w:cs="Segoe UI Symbol"/>
        </w:rPr>
        <w:t>平方米</w:t>
      </w:r>
      <w:r>
        <w:rPr>
          <w:rFonts w:hint="eastAsia" w:hAnsi="仿宋_GB2312" w:cs="仿宋_GB2312"/>
        </w:rPr>
        <w:t>上涨至</w:t>
      </w:r>
      <w:r>
        <w:t>2019年的13619</w:t>
      </w:r>
      <w:r>
        <w:rPr>
          <w:rFonts w:hint="eastAsia" w:hAnsi="仿宋_GB2312" w:cs="仿宋_GB2312"/>
        </w:rPr>
        <w:t>元</w:t>
      </w:r>
      <w:r>
        <w:t>/</w:t>
      </w:r>
      <w:r>
        <w:rPr>
          <w:rFonts w:hint="eastAsia" w:ascii="Segoe UI Symbol" w:hAnsi="Segoe UI Symbol" w:cs="Segoe UI Symbol"/>
        </w:rPr>
        <w:t>平方米，</w:t>
      </w:r>
      <w:r>
        <w:rPr>
          <w:rFonts w:hint="eastAsia" w:hAnsi="仿宋_GB2312" w:cs="仿宋_GB2312"/>
        </w:rPr>
        <w:t>上涨</w:t>
      </w:r>
      <w:r>
        <w:t>62.4%。2020年由于智慧新城高价优质楼盘的相继上市，月均价有小幅攀升，均价维持在15000元/</w:t>
      </w:r>
      <w:r>
        <w:rPr>
          <w:rFonts w:hint="eastAsia" w:ascii="Segoe UI Symbol" w:hAnsi="Segoe UI Symbol" w:cs="Segoe UI Symbol"/>
        </w:rPr>
        <w:t>平方米</w:t>
      </w:r>
      <w:r>
        <w:rPr>
          <w:rFonts w:hint="eastAsia" w:hAnsi="仿宋_GB2312" w:cs="仿宋_GB2312"/>
        </w:rPr>
        <w:t>上下。</w:t>
      </w:r>
      <w:r>
        <w:rPr>
          <w:rFonts w:hint="eastAsia"/>
        </w:rPr>
        <w:t>2</w:t>
      </w:r>
      <w:r>
        <w:t>016</w:t>
      </w:r>
      <w:r>
        <w:rPr>
          <w:rFonts w:hint="eastAsia"/>
        </w:rPr>
        <w:t>-</w:t>
      </w:r>
      <w:r>
        <w:t>2020</w:t>
      </w:r>
      <w:r>
        <w:rPr>
          <w:rFonts w:hAnsi="仿宋_GB2312" w:cs="仿宋_GB2312"/>
        </w:rPr>
        <w:t>年</w:t>
      </w:r>
      <w:r>
        <w:rPr>
          <w:rFonts w:hint="eastAsia" w:hAnsi="仿宋_GB2312" w:cs="仿宋_GB2312"/>
        </w:rPr>
        <w:t>，衢州市</w:t>
      </w:r>
      <w:r>
        <w:rPr>
          <w:rFonts w:hAnsi="仿宋_GB2312" w:cs="仿宋_GB2312"/>
        </w:rPr>
        <w:t>城镇人均可支配收入年均增长</w:t>
      </w:r>
      <w:r>
        <w:rPr>
          <w:rFonts w:hint="eastAsia" w:hAnsi="仿宋_GB2312" w:cs="仿宋_GB2312"/>
        </w:rPr>
        <w:t>8%，但房价年均涨幅在1</w:t>
      </w:r>
      <w:r>
        <w:rPr>
          <w:rFonts w:hAnsi="仿宋_GB2312" w:cs="仿宋_GB2312"/>
        </w:rPr>
        <w:t>5.7</w:t>
      </w:r>
      <w:r>
        <w:rPr>
          <w:rFonts w:hint="eastAsia" w:hAnsi="仿宋_GB2312" w:cs="仿宋_GB2312"/>
        </w:rPr>
        <w:t>%，明显高于收入增长，造成居民住房支付压力加大。</w:t>
      </w:r>
    </w:p>
    <w:p>
      <w:pPr>
        <w:spacing w:before="120"/>
        <w:ind w:firstLine="643"/>
      </w:pPr>
      <w:r>
        <w:rPr>
          <w:rFonts w:hint="eastAsia"/>
          <w:b/>
        </w:rPr>
        <w:t>住房租赁市场发育不完全。</w:t>
      </w:r>
      <w:r>
        <w:rPr>
          <w:rFonts w:hint="eastAsia"/>
        </w:rPr>
        <w:t>由于衢州市经济体量相对较小，外来人口规模基数较</w:t>
      </w:r>
      <w:r>
        <w:t>少</w:t>
      </w:r>
      <w:r>
        <w:rPr>
          <w:rFonts w:hint="eastAsia"/>
        </w:rPr>
        <w:t>，住房租赁需求</w:t>
      </w:r>
      <w:r>
        <w:t>较低</w:t>
      </w:r>
      <w:r>
        <w:rPr>
          <w:rFonts w:hint="eastAsia"/>
        </w:rPr>
        <w:t>，市场中介机构表示年均通过中介成交约</w:t>
      </w:r>
      <w:r>
        <w:t>3000套</w:t>
      </w:r>
      <w:r>
        <w:rPr>
          <w:rFonts w:hint="eastAsia"/>
        </w:rPr>
        <w:t>。目前尚无专业从事住房租赁的企业，居民的自有住房一般直接或通过房地产经纪出租。中介机构普遍小、散、乱、多，从业者的业务水平还有待提高，市场上具有引领性作用的大中介机构还有待培育，缺乏住房租赁中介信用管理制度。</w:t>
      </w:r>
    </w:p>
    <w:p>
      <w:pPr>
        <w:spacing w:before="120"/>
        <w:ind w:firstLine="643"/>
      </w:pPr>
      <w:r>
        <w:rPr>
          <w:rFonts w:hint="eastAsia"/>
          <w:b/>
        </w:rPr>
        <w:t>租赁住房体制机制方面不成熟。</w:t>
      </w:r>
      <w:r>
        <w:rPr>
          <w:rFonts w:hint="eastAsia"/>
        </w:rPr>
        <w:t>目前尚无成熟的租赁住房监管机制，衢州市在浙江省统一建设的租赁住房备案系统中的登记备案租赁住房套数较少，占全市租赁住房总套数比例较低，租赁监管对于促进租赁市场建设的作用有限。对租赁企业和租赁行为的监管处于较为粗放状态，仍需大力建设租赁住房体制。</w:t>
      </w:r>
    </w:p>
    <w:p>
      <w:pPr>
        <w:spacing w:before="120"/>
        <w:ind w:firstLine="643"/>
      </w:pPr>
      <w:r>
        <w:rPr>
          <w:rFonts w:hint="eastAsia"/>
          <w:b/>
        </w:rPr>
        <w:t>租赁住房供需不平衡。</w:t>
      </w:r>
      <w:r>
        <w:rPr>
          <w:rFonts w:hint="eastAsia"/>
        </w:rPr>
        <w:t>虽然衢州市整体租赁市场规模还不大，但也存在一定供需结构、品质的不平衡。由于目前租赁住房供给以市场自发行为为主，以中大户型为主，小户型比例较低。并且现在租赁人口整体呈现年轻化、高学历化的趋势，对租赁住房品质有一定要求，不少园区企业的自建配套宿舍和周边乡镇出租的村民住宅存在面积小，设施不齐全等问题，比较老旧，</w:t>
      </w:r>
      <w:r>
        <w:t>难以</w:t>
      </w:r>
      <w:r>
        <w:rPr>
          <w:rFonts w:hint="eastAsia"/>
        </w:rPr>
        <w:t>满足员工的租住需求，需要高品质、便于集中管理的员工公寓。</w:t>
      </w:r>
    </w:p>
    <w:p>
      <w:pPr>
        <w:pStyle w:val="31"/>
        <w:spacing w:before="120"/>
        <w:ind w:firstLine="640"/>
      </w:pPr>
    </w:p>
    <w:p>
      <w:pPr>
        <w:pStyle w:val="3"/>
        <w:spacing w:before="120"/>
        <w:ind w:firstLine="0" w:firstLineChars="0"/>
      </w:pPr>
      <w:bookmarkStart w:id="77" w:name="_Toc101686465"/>
      <w:r>
        <w:rPr>
          <w:rFonts w:hint="eastAsia"/>
        </w:rPr>
        <w:t>三、指导思想、规划原则和规划目标</w:t>
      </w:r>
      <w:bookmarkEnd w:id="77"/>
    </w:p>
    <w:p>
      <w:pPr>
        <w:pStyle w:val="3"/>
        <w:spacing w:before="120"/>
      </w:pPr>
      <w:bookmarkStart w:id="78" w:name="_Toc101686466"/>
      <w:r>
        <w:rPr>
          <w:rFonts w:hint="eastAsia"/>
        </w:rPr>
        <w:t>（一）指导思想</w:t>
      </w:r>
      <w:bookmarkEnd w:id="78"/>
    </w:p>
    <w:p>
      <w:pPr>
        <w:spacing w:before="120"/>
      </w:pPr>
      <w:r>
        <w:rPr>
          <w:rFonts w:hint="eastAsia"/>
        </w:rPr>
        <w:t>以习近平新时代中国特色社会主义思想为指导，深入贯彻落实党的十九大和十九届二中、三中、四中、五中、六中全会精神，立足新发展阶段、贯彻新发展理念、构建新发展格局，坚持以人民为中心，坚持房子是用来住的、不是用来炒的定位，科学促进住房发展，充分发挥住房对民生改善、新型城镇化、经济社会健康发展的支撑作用，以提高城市居住品质、促进职住平衡、实现产城融合发展为目标，以需求为导向，扩大保障性租赁住房供给，更好解决新市民、青年人等群体的住房困难问题，努力实现广大群众住有所居，满足人民日益增长的美好生活需要，提高城市吸引力和综合竞争力，推动全市经济社会高质量发展。</w:t>
      </w:r>
    </w:p>
    <w:p>
      <w:pPr>
        <w:pStyle w:val="3"/>
        <w:spacing w:before="120"/>
      </w:pPr>
      <w:bookmarkStart w:id="79" w:name="_Toc101686467"/>
      <w:r>
        <w:rPr>
          <w:rFonts w:hint="eastAsia"/>
        </w:rPr>
        <w:t>（二）规划原则</w:t>
      </w:r>
      <w:bookmarkEnd w:id="79"/>
    </w:p>
    <w:p>
      <w:pPr>
        <w:spacing w:before="120"/>
        <w:ind w:firstLine="643"/>
      </w:pPr>
      <w:r>
        <w:rPr>
          <w:rFonts w:hint="eastAsia"/>
          <w:b/>
        </w:rPr>
        <w:t>统筹衔接、优化供给。</w:t>
      </w:r>
      <w:r>
        <w:rPr>
          <w:rFonts w:hint="eastAsia"/>
        </w:rPr>
        <w:t>促进保障性租赁住房与现有住房供应体系有效衔接，与公租房共同筑牢住房保障体系、与人才住房统筹并轨发展、与商品住房市场错位互补，使保障性租赁住房成为完善住房供应体系、提高居住品质、实现浙里安居的重要措施。</w:t>
      </w:r>
    </w:p>
    <w:p>
      <w:pPr>
        <w:spacing w:before="120"/>
        <w:ind w:firstLine="643"/>
        <w:rPr>
          <w:lang w:eastAsia="zh-Hans"/>
        </w:rPr>
      </w:pPr>
      <w:r>
        <w:rPr>
          <w:rFonts w:hint="eastAsia"/>
          <w:b/>
        </w:rPr>
        <w:t>突出重点、精准保障。</w:t>
      </w:r>
      <w:r>
        <w:rPr>
          <w:rFonts w:hint="eastAsia"/>
        </w:rPr>
        <w:t>结合衢州市工业高质量发展和建设</w:t>
      </w:r>
      <w:r>
        <w:rPr>
          <w:rStyle w:val="37"/>
          <w:rFonts w:hint="default"/>
        </w:rPr>
        <w:t>四省边际人才集聚桥头堡的目标，保障性租赁住房保障对象以</w:t>
      </w:r>
      <w:r>
        <w:rPr>
          <w:rFonts w:hint="eastAsia"/>
          <w:lang w:eastAsia="zh-Hans"/>
        </w:rPr>
        <w:t>基本公共服务人员（公交、环卫、保安、快递、家政、物流等）、产业园区</w:t>
      </w:r>
      <w:r>
        <w:rPr>
          <w:lang w:eastAsia="zh-Hans"/>
        </w:rPr>
        <w:t>外来务工人员</w:t>
      </w:r>
      <w:r>
        <w:rPr>
          <w:rFonts w:hint="eastAsia"/>
          <w:lang w:eastAsia="zh-Hans"/>
        </w:rPr>
        <w:t>、新就业大学生为重点。其中，基本公共服务人员实现应保尽保，重点企业务工人员实现以需定供、应保尽保，新就业大学生优先保障在重点产业、重点企业就业和符合</w:t>
      </w:r>
      <w:r>
        <w:rPr>
          <w:rFonts w:hint="eastAsia"/>
          <w:color w:val="000000" w:themeColor="text1"/>
          <w14:textFill>
            <w14:solidFill>
              <w14:schemeClr w14:val="tx1"/>
            </w14:solidFill>
          </w14:textFill>
        </w:rPr>
        <w:t>人才引进政策的群体。</w:t>
      </w:r>
    </w:p>
    <w:p>
      <w:pPr>
        <w:spacing w:before="120"/>
        <w:ind w:firstLine="643"/>
      </w:pPr>
      <w:r>
        <w:rPr>
          <w:rFonts w:hint="eastAsia"/>
          <w:b/>
        </w:rPr>
        <w:t>增存并重、分类施策。</w:t>
      </w:r>
      <w:r>
        <w:rPr>
          <w:rFonts w:hint="eastAsia"/>
        </w:rPr>
        <w:t>充分发挥市场机制作用，引导多主体投资、多渠道供给</w:t>
      </w:r>
      <w:r>
        <w:rPr>
          <w:rFonts w:hint="eastAsia"/>
          <w:lang w:eastAsia="zh-Hans"/>
        </w:rPr>
        <w:t>，结合衢州特点，</w:t>
      </w:r>
      <w:r>
        <w:rPr>
          <w:rFonts w:hint="eastAsia"/>
        </w:rPr>
        <w:t>充分调动和发挥用工量大的重点企业、房地产开发企业和专业化租赁企业的作用，</w:t>
      </w:r>
      <w:r>
        <w:rPr>
          <w:rStyle w:val="37"/>
          <w:rFonts w:hint="default"/>
        </w:rPr>
        <w:t>以重点企业员工宿舍和人才公寓为主筹集保障性租赁住房</w:t>
      </w:r>
      <w:r>
        <w:rPr>
          <w:rFonts w:hint="eastAsia"/>
          <w:lang w:eastAsia="zh-Hans"/>
        </w:rPr>
        <w:t>。坚持</w:t>
      </w:r>
      <w:r>
        <w:rPr>
          <w:rFonts w:hint="eastAsia"/>
        </w:rPr>
        <w:t>增存并重，优先存量利用，积极鼓励利用集体经营性建设用地、企事业单位自有闲置土地、产业园区配套用地、存量闲置房屋等存量资源，结合未来社区、人才公寓项目适度利用新供应国有建设用地，有效增加保障性租赁住房供给。</w:t>
      </w:r>
    </w:p>
    <w:p>
      <w:pPr>
        <w:spacing w:before="120"/>
        <w:ind w:firstLine="643"/>
      </w:pPr>
      <w:r>
        <w:rPr>
          <w:rFonts w:hint="eastAsia"/>
          <w:b/>
          <w:bCs/>
        </w:rPr>
        <w:t>尽力而为、量力而行。</w:t>
      </w:r>
      <w:r>
        <w:rPr>
          <w:rFonts w:hint="eastAsia"/>
        </w:rPr>
        <w:t>保障性租赁住房是充分发挥市场机制的普惠性非基本公共服务，一方面要尽力而为，细化落实土地、财税、金融、项目审批等方面的优惠政策，有力发挥政府引导的积极作用，充分释放市场潜力；另一方面要量力而行，立足现</w:t>
      </w:r>
      <w:r>
        <w:t>有</w:t>
      </w:r>
      <w:r>
        <w:rPr>
          <w:rFonts w:hint="eastAsia"/>
        </w:rPr>
        <w:t>房地产交易市场和租赁市场的供给能力、政府保障的实际负担能力等各方面因素，合理确定规划目标，确保保障性租赁住房建成后实现可持续运营的健康发展。</w:t>
      </w:r>
    </w:p>
    <w:p>
      <w:pPr>
        <w:spacing w:before="120"/>
        <w:ind w:firstLine="643"/>
        <w:rPr>
          <w:color w:val="000000" w:themeColor="text1"/>
          <w14:textFill>
            <w14:solidFill>
              <w14:schemeClr w14:val="tx1"/>
            </w14:solidFill>
          </w14:textFill>
        </w:rPr>
      </w:pPr>
      <w:r>
        <w:rPr>
          <w:rFonts w:hint="eastAsia"/>
          <w:b/>
        </w:rPr>
        <w:t>供需匹配、职住平衡。</w:t>
      </w:r>
      <w:r>
        <w:rPr>
          <w:rFonts w:hint="eastAsia"/>
          <w:color w:val="000000" w:themeColor="text1"/>
          <w14:textFill>
            <w14:solidFill>
              <w14:schemeClr w14:val="tx1"/>
            </w14:solidFill>
          </w14:textFill>
        </w:rPr>
        <w:t>在供给总量上，突出保障性租赁住房与人口、产业发展等需求动态匹配，综合考虑实际需求和供给潜力，科学确定保障性租赁住房的供应总量。在住房类型上，突出小户型、低租金特点，以宿舍型和单间型为主，住宅型为辅。在空间布局上，统筹考虑产业发展方向、</w:t>
      </w:r>
      <w:r>
        <w:t>城市</w:t>
      </w:r>
      <w:r>
        <w:rPr>
          <w:rFonts w:hint="eastAsia"/>
        </w:rPr>
        <w:t>建设与城市</w:t>
      </w:r>
      <w:r>
        <w:t>更新</w:t>
      </w:r>
      <w:r>
        <w:rPr>
          <w:rFonts w:hint="eastAsia"/>
        </w:rPr>
        <w:t>重点、公共交通</w:t>
      </w:r>
      <w:r>
        <w:t>布局</w:t>
      </w:r>
      <w:r>
        <w:rPr>
          <w:rFonts w:hint="eastAsia"/>
        </w:rPr>
        <w:t>与实际供给潜力，</w:t>
      </w:r>
      <w:r>
        <w:rPr>
          <w:lang w:eastAsia="zh-Hans"/>
        </w:rPr>
        <w:t>引导产城人</w:t>
      </w:r>
      <w:r>
        <w:t>融合、人地房联动</w:t>
      </w:r>
      <w:r>
        <w:rPr>
          <w:rFonts w:hint="eastAsia"/>
        </w:rPr>
        <w:t>，</w:t>
      </w:r>
      <w:r>
        <w:t>实现职住平衡</w:t>
      </w:r>
      <w:r>
        <w:rPr>
          <w:rFonts w:hint="eastAsia"/>
        </w:rPr>
        <w:t>，</w:t>
      </w:r>
      <w:r>
        <w:rPr>
          <w:rFonts w:hint="eastAsia"/>
          <w:bCs/>
          <w:szCs w:val="30"/>
        </w:rPr>
        <w:t>努力实现</w:t>
      </w:r>
      <w:r>
        <w:rPr>
          <w:bCs/>
          <w:szCs w:val="30"/>
        </w:rPr>
        <w:t>70%以上的就业人口在半径3公里的职住平衡单元内居住</w:t>
      </w:r>
      <w:r>
        <w:t>。</w:t>
      </w:r>
      <w:r>
        <w:rPr>
          <w:rFonts w:hint="eastAsia"/>
          <w:color w:val="000000" w:themeColor="text1"/>
          <w14:textFill>
            <w14:solidFill>
              <w14:schemeClr w14:val="tx1"/>
            </w14:solidFill>
          </w14:textFill>
        </w:rPr>
        <w:t>同时根据保障性租赁住房不同区位、套型特点，有针对性地加强商业服务设施、公共服务设施及基础设施配套。</w:t>
      </w:r>
    </w:p>
    <w:p>
      <w:pPr>
        <w:pStyle w:val="3"/>
        <w:spacing w:before="120"/>
      </w:pPr>
      <w:bookmarkStart w:id="80" w:name="_Toc101686468"/>
      <w:r>
        <w:rPr>
          <w:rFonts w:hint="eastAsia"/>
        </w:rPr>
        <w:t>（三）规划目标</w:t>
      </w:r>
      <w:bookmarkEnd w:id="80"/>
    </w:p>
    <w:p>
      <w:pPr>
        <w:spacing w:before="120"/>
        <w:ind w:firstLine="643"/>
        <w:rPr>
          <w:b/>
          <w:bCs/>
          <w:color w:val="000000" w:themeColor="text1"/>
          <w14:textFill>
            <w14:solidFill>
              <w14:schemeClr w14:val="tx1"/>
            </w14:solidFill>
          </w14:textFill>
        </w:rPr>
      </w:pPr>
      <w:r>
        <w:rPr>
          <w:b/>
          <w:bCs/>
          <w:color w:val="000000" w:themeColor="text1"/>
          <w14:textFill>
            <w14:solidFill>
              <w14:schemeClr w14:val="tx1"/>
            </w14:solidFill>
          </w14:textFill>
        </w:rPr>
        <w:t>1.</w:t>
      </w:r>
      <w:r>
        <w:rPr>
          <w:rFonts w:hint="eastAsia"/>
          <w:b/>
          <w:bCs/>
          <w:color w:val="000000" w:themeColor="text1"/>
          <w14:textFill>
            <w14:solidFill>
              <w14:schemeClr w14:val="tx1"/>
            </w14:solidFill>
          </w14:textFill>
        </w:rPr>
        <w:t>总体目标</w:t>
      </w:r>
    </w:p>
    <w:p>
      <w:pPr>
        <w:spacing w:before="120"/>
        <w:rPr>
          <w:rFonts w:ascii="仿宋" w:eastAsia="仿宋"/>
        </w:rPr>
      </w:pPr>
      <w:r>
        <w:rPr>
          <w:rFonts w:hint="eastAsia" w:ascii="仿宋" w:eastAsia="仿宋"/>
        </w:rPr>
        <w:t>以满足新市民、青年人的居住需求为中心，</w:t>
      </w:r>
      <w:r>
        <w:rPr>
          <w:rFonts w:ascii="仿宋" w:eastAsia="仿宋"/>
        </w:rPr>
        <w:t>将加快发展保障性租赁住房作为“十四五”住房建设的重点</w:t>
      </w:r>
      <w:r>
        <w:rPr>
          <w:rFonts w:hint="eastAsia" w:ascii="仿宋" w:eastAsia="仿宋"/>
        </w:rPr>
        <w:t>工作</w:t>
      </w:r>
      <w:r>
        <w:rPr>
          <w:rFonts w:ascii="仿宋" w:eastAsia="仿宋"/>
        </w:rPr>
        <w:t>，</w:t>
      </w:r>
      <w:r>
        <w:rPr>
          <w:rFonts w:hint="eastAsia" w:ascii="仿宋" w:eastAsia="仿宋"/>
        </w:rPr>
        <w:t>健全城市住房保障体系，优化住房供应结构，促进市区住房高质量发展。到</w:t>
      </w:r>
      <w:r>
        <w:rPr>
          <w:rFonts w:ascii="仿宋" w:eastAsia="仿宋"/>
        </w:rPr>
        <w:t>2025</w:t>
      </w:r>
      <w:r>
        <w:rPr>
          <w:rFonts w:hint="eastAsia" w:ascii="仿宋" w:eastAsia="仿宋"/>
        </w:rPr>
        <w:t>年，建立</w:t>
      </w:r>
      <w:r>
        <w:rPr>
          <w:rFonts w:ascii="仿宋" w:eastAsia="仿宋"/>
        </w:rPr>
        <w:t>法规制度健全</w:t>
      </w:r>
      <w:r>
        <w:rPr>
          <w:rFonts w:hint="eastAsia" w:ascii="仿宋" w:eastAsia="仿宋"/>
        </w:rPr>
        <w:t>、</w:t>
      </w:r>
      <w:r>
        <w:rPr>
          <w:rFonts w:ascii="仿宋" w:eastAsia="仿宋"/>
        </w:rPr>
        <w:t>供应主体多元、经营服务规范、</w:t>
      </w:r>
      <w:r>
        <w:rPr>
          <w:rFonts w:hint="eastAsia" w:ascii="仿宋" w:eastAsia="仿宋"/>
        </w:rPr>
        <w:t>消费价格合理</w:t>
      </w:r>
      <w:r>
        <w:rPr>
          <w:rFonts w:ascii="仿宋" w:eastAsia="仿宋"/>
        </w:rPr>
        <w:t>的</w:t>
      </w:r>
      <w:r>
        <w:rPr>
          <w:rFonts w:hint="eastAsia" w:ascii="仿宋" w:eastAsia="仿宋"/>
        </w:rPr>
        <w:t>保障性租赁</w:t>
      </w:r>
      <w:r>
        <w:rPr>
          <w:rFonts w:ascii="仿宋" w:eastAsia="仿宋"/>
        </w:rPr>
        <w:t>住房</w:t>
      </w:r>
      <w:r>
        <w:rPr>
          <w:rFonts w:hint="eastAsia" w:ascii="仿宋" w:eastAsia="仿宋"/>
        </w:rPr>
        <w:t>供应</w:t>
      </w:r>
      <w:r>
        <w:rPr>
          <w:rFonts w:ascii="仿宋" w:eastAsia="仿宋"/>
        </w:rPr>
        <w:t>体系</w:t>
      </w:r>
      <w:r>
        <w:rPr>
          <w:rFonts w:hint="eastAsia" w:ascii="仿宋" w:eastAsia="仿宋"/>
        </w:rPr>
        <w:t>。量质并举、增存并重，</w:t>
      </w:r>
      <w:r>
        <w:rPr>
          <w:rFonts w:ascii="仿宋" w:eastAsia="仿宋"/>
        </w:rPr>
        <w:t>实现</w:t>
      </w:r>
      <w:r>
        <w:rPr>
          <w:rFonts w:hint="eastAsia" w:ascii="仿宋" w:eastAsia="仿宋"/>
        </w:rPr>
        <w:t>保障性</w:t>
      </w:r>
      <w:r>
        <w:rPr>
          <w:rFonts w:ascii="仿宋" w:eastAsia="仿宋"/>
        </w:rPr>
        <w:t>租赁住房</w:t>
      </w:r>
      <w:r>
        <w:rPr>
          <w:rFonts w:hint="eastAsia" w:ascii="仿宋" w:eastAsia="仿宋"/>
        </w:rPr>
        <w:t>供需总量平衡、户型结构适配、空间布局得当、品质服务卓越，新市民、青年人等群体住房困难基本解决，助力“住在衢州”安居品牌建设，全面提升城市人才吸引力和区域竞争力，彰显衢州特色，打造浙里安居样板</w:t>
      </w:r>
      <w:r>
        <w:rPr>
          <w:rFonts w:ascii="仿宋" w:eastAsia="仿宋"/>
        </w:rPr>
        <w:t>。</w:t>
      </w:r>
    </w:p>
    <w:p>
      <w:pPr>
        <w:spacing w:before="120"/>
        <w:ind w:firstLine="643"/>
        <w:rPr>
          <w:b/>
          <w:bCs/>
          <w:color w:val="000000" w:themeColor="text1"/>
          <w14:textFill>
            <w14:solidFill>
              <w14:schemeClr w14:val="tx1"/>
            </w14:solidFill>
          </w14:textFill>
        </w:rPr>
      </w:pPr>
      <w:r>
        <w:rPr>
          <w:b/>
          <w:bCs/>
          <w:color w:val="000000" w:themeColor="text1"/>
          <w14:textFill>
            <w14:solidFill>
              <w14:schemeClr w14:val="tx1"/>
            </w14:solidFill>
          </w14:textFill>
        </w:rPr>
        <w:t>2.</w:t>
      </w:r>
      <w:r>
        <w:rPr>
          <w:rFonts w:hint="eastAsia"/>
          <w:b/>
          <w:bCs/>
          <w:color w:val="000000" w:themeColor="text1"/>
          <w14:textFill>
            <w14:solidFill>
              <w14:schemeClr w14:val="tx1"/>
            </w14:solidFill>
          </w14:textFill>
        </w:rPr>
        <w:t>具体目标</w:t>
      </w:r>
    </w:p>
    <w:p>
      <w:pPr>
        <w:spacing w:before="120"/>
        <w:ind w:firstLine="643"/>
        <w:rPr>
          <w:rFonts w:ascii="仿宋" w:eastAsia="仿宋"/>
        </w:rPr>
      </w:pPr>
      <w:r>
        <w:rPr>
          <w:rFonts w:hint="eastAsia" w:ascii="仿宋" w:eastAsia="仿宋"/>
          <w:b/>
        </w:rPr>
        <w:t>（制度建设）健全适应新时期发展要求的管理体制机制。</w:t>
      </w:r>
      <w:r>
        <w:rPr>
          <w:rFonts w:hint="eastAsia" w:ascii="仿宋" w:eastAsia="仿宋"/>
        </w:rPr>
        <w:t>健全住房保障体系，形成涵盖建设、运营、管理工作全流程的保障性租赁住房政策体系。建立多部门互动协作、多层级上下衔接的长效工作机制。</w:t>
      </w:r>
    </w:p>
    <w:p>
      <w:pPr>
        <w:shd w:val="clear" w:color="000000" w:fill="FFFFFF"/>
        <w:spacing w:before="120"/>
        <w:ind w:firstLine="643"/>
        <w:rPr>
          <w:rFonts w:ascii="Times New Roman" w:hAnsi="Times New Roman"/>
        </w:rPr>
      </w:pPr>
      <w:r>
        <w:rPr>
          <w:rFonts w:hint="eastAsia"/>
          <w:b/>
        </w:rPr>
        <w:t>（畅通渠道）多渠道增加租赁房源供给。</w:t>
      </w:r>
      <w:r>
        <w:rPr>
          <w:rFonts w:hint="eastAsia"/>
        </w:rPr>
        <w:t>增存并重，</w:t>
      </w:r>
      <w:r>
        <w:rPr>
          <w:rFonts w:hint="eastAsia" w:ascii="Times New Roman" w:hAnsi="Times New Roman"/>
        </w:rPr>
        <w:t>充分发挥市场机制作用，</w:t>
      </w:r>
      <w:r>
        <w:rPr>
          <w:rFonts w:hint="eastAsia"/>
        </w:rPr>
        <w:t>利用集体经营性建设用地、企事业单位自有闲置土地、产业园区配套用地、存量闲置房屋建设和新供应国有建设用地建设</w:t>
      </w:r>
      <w:r>
        <w:rPr>
          <w:rFonts w:hint="eastAsia" w:ascii="Times New Roman" w:hAnsi="Times New Roman"/>
        </w:rPr>
        <w:t>。</w:t>
      </w:r>
      <w:r>
        <w:rPr>
          <w:rFonts w:hint="eastAsia"/>
        </w:rPr>
        <w:t>“十四五”期间市区保障性租赁住房的供给目标为</w:t>
      </w:r>
      <w:r>
        <w:t>1万</w:t>
      </w:r>
      <w:r>
        <w:rPr>
          <w:rFonts w:hint="eastAsia"/>
        </w:rPr>
        <w:t>套（间），占新增住房供应总量比例</w:t>
      </w:r>
      <w:r>
        <w:t>约为17%</w:t>
      </w:r>
      <w:r>
        <w:rPr>
          <w:rFonts w:hint="eastAsia"/>
        </w:rPr>
        <w:t>。</w:t>
      </w:r>
    </w:p>
    <w:p>
      <w:pPr>
        <w:spacing w:before="120"/>
        <w:ind w:firstLine="643"/>
      </w:pPr>
      <w:r>
        <w:rPr>
          <w:rFonts w:hint="eastAsia"/>
          <w:b/>
        </w:rPr>
        <w:t>（培育主体）培育专业化规模化市场供应主体。</w:t>
      </w:r>
      <w:r>
        <w:rPr>
          <w:rFonts w:hint="eastAsia"/>
        </w:rPr>
        <w:t>通过政策支持，鼓励和培育专业化住房租赁企业发展，促进企业扩大市场占有率，探索形成市场运营的可复制可推广模式。至规划期末，培育专业化、规模化租赁企业（房源在</w:t>
      </w:r>
      <w:r>
        <w:t>50</w:t>
      </w:r>
      <w:r>
        <w:rPr>
          <w:rFonts w:hint="eastAsia"/>
        </w:rPr>
        <w:t>套/间或面积达到</w:t>
      </w:r>
      <w:r>
        <w:t>2000</w:t>
      </w:r>
      <w:r>
        <w:rPr>
          <w:rFonts w:hint="eastAsia"/>
        </w:rPr>
        <w:t>平方米以上）</w:t>
      </w:r>
      <w:r>
        <w:t>5</w:t>
      </w:r>
      <w:r>
        <w:rPr>
          <w:rFonts w:hint="eastAsia"/>
        </w:rPr>
        <w:t>家以上。</w:t>
      </w:r>
    </w:p>
    <w:p>
      <w:pPr>
        <w:spacing w:before="120"/>
        <w:ind w:firstLine="643"/>
      </w:pPr>
      <w:r>
        <w:rPr>
          <w:rFonts w:hint="eastAsia"/>
          <w:b/>
          <w:bCs/>
        </w:rPr>
        <w:t>（提升品质）提升保障性租赁住房品质和综合服务水平。</w:t>
      </w:r>
      <w:r>
        <w:rPr>
          <w:rFonts w:hint="eastAsia"/>
        </w:rPr>
        <w:t>积极适应住房发展步入量质并举阶段的新要求，着力满足新市民、青年人更高水平、更高质量的美好生活居住需要。保障安全卫生的居住条件，提高租赁住房建造设计质量，推动智慧化运营服务管理，完善社区配套服务，优化空间布局和通勤效率，全面</w:t>
      </w:r>
      <w:r>
        <w:t>提升</w:t>
      </w:r>
      <w:r>
        <w:rPr>
          <w:rFonts w:hint="eastAsia"/>
        </w:rPr>
        <w:t>新市民、青年人幸福</w:t>
      </w:r>
      <w:r>
        <w:t>感</w:t>
      </w:r>
      <w:r>
        <w:rPr>
          <w:rFonts w:hint="eastAsia"/>
        </w:rPr>
        <w:t>和满意度。</w:t>
      </w:r>
    </w:p>
    <w:p>
      <w:pPr>
        <w:spacing w:before="120"/>
        <w:ind w:firstLine="643"/>
      </w:pPr>
      <w:r>
        <w:rPr>
          <w:rFonts w:hint="eastAsia"/>
          <w:b/>
          <w:bCs/>
          <w:color w:val="000000" w:themeColor="text1"/>
          <w14:textFill>
            <w14:solidFill>
              <w14:schemeClr w14:val="tx1"/>
            </w14:solidFill>
          </w14:textFill>
        </w:rPr>
        <w:t>（强化监管）</w:t>
      </w:r>
      <w:r>
        <w:rPr>
          <w:rFonts w:hint="eastAsia"/>
          <w:b/>
          <w:bCs/>
        </w:rPr>
        <w:t>提高规范化信息化的监管服务水平。</w:t>
      </w:r>
      <w:r>
        <w:rPr>
          <w:rFonts w:hint="eastAsia"/>
        </w:rPr>
        <w:t>建设住房租赁管理服务平台，构建政企联动、房源全覆盖的租赁市场信息化管理机制。实现保障性租赁住房房源和网签备案</w:t>
      </w:r>
      <w:r>
        <w:t>100%纳入住房租赁管理服务平台管理。</w:t>
      </w:r>
    </w:p>
    <w:p>
      <w:pPr>
        <w:spacing w:before="120"/>
        <w:ind w:firstLine="643"/>
        <w:rPr>
          <w:b/>
          <w:bCs/>
          <w:color w:val="000000" w:themeColor="text1"/>
          <w14:textFill>
            <w14:solidFill>
              <w14:schemeClr w14:val="tx1"/>
            </w14:solidFill>
          </w14:textFill>
        </w:rPr>
      </w:pP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建设规模与结构</w:t>
      </w:r>
    </w:p>
    <w:p>
      <w:pPr>
        <w:spacing w:before="120"/>
      </w:pPr>
      <w:r>
        <w:rPr>
          <w:rFonts w:hint="eastAsia"/>
        </w:rPr>
        <w:t>衢州市租房门槛相对较低，</w:t>
      </w:r>
      <w:r>
        <w:t>现有</w:t>
      </w:r>
      <w:r>
        <w:rPr>
          <w:rFonts w:hint="eastAsia"/>
        </w:rPr>
        <w:t>基本公共服务人员、</w:t>
      </w:r>
      <w:r>
        <w:t>新就业大学生</w:t>
      </w:r>
      <w:r>
        <w:rPr>
          <w:rFonts w:hint="eastAsia"/>
        </w:rPr>
        <w:t>、</w:t>
      </w:r>
      <w:r>
        <w:t>务工人员</w:t>
      </w:r>
      <w:r>
        <w:rPr>
          <w:rFonts w:hint="eastAsia"/>
        </w:rPr>
        <w:t>的住房问题已通过各种方式解决，保障性租赁住房需求规模的测算主要以新增人口为基础。基本公共服务人员以本地户籍为主，大多在邻近乡镇自有住房居住，重点测算</w:t>
      </w:r>
      <w:r>
        <w:rPr>
          <w:rFonts w:hint="eastAsia"/>
          <w:lang w:eastAsia="zh-Hans"/>
        </w:rPr>
        <w:t>新就业大学生和产业园区</w:t>
      </w:r>
      <w:r>
        <w:rPr>
          <w:lang w:eastAsia="zh-Hans"/>
        </w:rPr>
        <w:t>外来务工人员</w:t>
      </w:r>
      <w:r>
        <w:rPr>
          <w:rFonts w:hint="eastAsia"/>
          <w:lang w:eastAsia="zh-Hans"/>
        </w:rPr>
        <w:t>的居住需求</w:t>
      </w:r>
      <w:r>
        <w:rPr>
          <w:rFonts w:hint="eastAsia"/>
        </w:rPr>
        <w:t>。</w:t>
      </w:r>
    </w:p>
    <w:p>
      <w:pPr>
        <w:spacing w:before="120"/>
      </w:pPr>
      <w:r>
        <w:rPr>
          <w:rFonts w:hint="eastAsia"/>
        </w:rPr>
        <w:t>规划测算衢州市区</w:t>
      </w:r>
      <w:r>
        <w:t>有保障性租赁住房潜在需求</w:t>
      </w:r>
      <w:r>
        <w:rPr>
          <w:rStyle w:val="27"/>
        </w:rPr>
        <w:footnoteReference w:id="0"/>
      </w:r>
      <w:r>
        <w:t>的</w:t>
      </w:r>
      <w:r>
        <w:rPr>
          <w:rFonts w:hint="eastAsia"/>
        </w:rPr>
        <w:t>新就业大学生约</w:t>
      </w:r>
      <w:r>
        <w:t>3.3万人</w:t>
      </w:r>
      <w:r>
        <w:rPr>
          <w:rFonts w:hint="eastAsia"/>
        </w:rPr>
        <w:t>，产业园区</w:t>
      </w:r>
      <w:r>
        <w:t>外来务工人员约1.8</w:t>
      </w:r>
      <w:r>
        <w:rPr>
          <w:rFonts w:hint="eastAsia"/>
        </w:rPr>
        <w:t>万人，合计</w:t>
      </w:r>
      <w:r>
        <w:t>5.1</w:t>
      </w:r>
      <w:r>
        <w:rPr>
          <w:rFonts w:hint="eastAsia"/>
        </w:rPr>
        <w:t>万人，共需保障性租赁住房3</w:t>
      </w:r>
      <w:r>
        <w:t>.1万套</w:t>
      </w:r>
      <w:r>
        <w:rPr>
          <w:rFonts w:hint="eastAsia"/>
        </w:rPr>
        <w:t>（间）。通过</w:t>
      </w:r>
      <w:r>
        <w:t>统筹考虑市场租赁住房现有供给能力</w:t>
      </w:r>
      <w:r>
        <w:rPr>
          <w:rFonts w:hint="eastAsia"/>
        </w:rPr>
        <w:t>、</w:t>
      </w:r>
      <w:r>
        <w:t>对商品住房市场的影响和政府保障能力</w:t>
      </w:r>
      <w:r>
        <w:rPr>
          <w:rFonts w:hint="eastAsia"/>
        </w:rPr>
        <w:t>等因素，综合确定“十四五”期间保障性租赁住房的供给目标为</w:t>
      </w:r>
      <w:r>
        <w:t>1万</w:t>
      </w:r>
      <w:r>
        <w:rPr>
          <w:rFonts w:hint="eastAsia"/>
        </w:rPr>
        <w:t>套（间），占新增住房供应总量比例</w:t>
      </w:r>
      <w:r>
        <w:t>约为17%</w:t>
      </w:r>
      <w:r>
        <w:rPr>
          <w:rFonts w:hint="eastAsia"/>
        </w:rPr>
        <w:t>。</w:t>
      </w:r>
    </w:p>
    <w:p>
      <w:pPr>
        <w:spacing w:before="120"/>
      </w:pPr>
      <w:r>
        <w:rPr>
          <w:rFonts w:hint="eastAsia"/>
        </w:rPr>
        <w:t>产业园区外来务工人员支付性差，需</w:t>
      </w:r>
      <w:r>
        <w:t>给予</w:t>
      </w:r>
      <w:r>
        <w:rPr>
          <w:rFonts w:hint="eastAsia"/>
        </w:rPr>
        <w:t>较大保障力度，保障性租赁住房主要由园区企业提供，实现园区重点企业务工人员以需定供、应保尽保，需保障约</w:t>
      </w:r>
      <w:r>
        <w:t>60%的园区务工人员，约1.1</w:t>
      </w:r>
      <w:r>
        <w:rPr>
          <w:rFonts w:hint="eastAsia"/>
        </w:rPr>
        <w:t>万人，以</w:t>
      </w:r>
      <w:r>
        <w:t>4人间宿舍为主，</w:t>
      </w:r>
      <w:r>
        <w:rPr>
          <w:rFonts w:hint="eastAsia"/>
        </w:rPr>
        <w:t>需</w:t>
      </w:r>
      <w:r>
        <w:t>0.28</w:t>
      </w:r>
      <w:r>
        <w:rPr>
          <w:rFonts w:hint="eastAsia"/>
        </w:rPr>
        <w:t>万间。新就业大学生住房支付能力较好，租赁渠道较多，是市场租赁的重要组成部分，保障比例按</w:t>
      </w:r>
      <w:r>
        <w:t>25-30%</w:t>
      </w:r>
      <w:r>
        <w:rPr>
          <w:rFonts w:hint="eastAsia"/>
        </w:rPr>
        <w:t>考虑，约</w:t>
      </w:r>
      <w:r>
        <w:t>0.9万人</w:t>
      </w:r>
      <w:r>
        <w:rPr>
          <w:rFonts w:hint="eastAsia"/>
        </w:rPr>
        <w:t>，</w:t>
      </w:r>
      <w:r>
        <w:t>以</w:t>
      </w:r>
      <w:r>
        <w:rPr>
          <w:rFonts w:hint="eastAsia"/>
        </w:rPr>
        <w:t>单间型或住宅型为主，平均每套（间）约</w:t>
      </w:r>
      <w:r>
        <w:t>1.25人</w:t>
      </w:r>
      <w:r>
        <w:rPr>
          <w:rStyle w:val="27"/>
        </w:rPr>
        <w:footnoteReference w:id="1"/>
      </w:r>
      <w:r>
        <w:rPr>
          <w:rFonts w:hint="eastAsia"/>
        </w:rPr>
        <w:t>，需</w:t>
      </w:r>
      <w:r>
        <w:t>0.72万</w:t>
      </w:r>
      <w:r>
        <w:rPr>
          <w:rFonts w:hint="eastAsia"/>
        </w:rPr>
        <w:t>套（间）。</w:t>
      </w:r>
    </w:p>
    <w:p>
      <w:pPr>
        <w:spacing w:before="120"/>
      </w:pPr>
      <w:r>
        <w:t>按此比例</w:t>
      </w:r>
      <w:r>
        <w:rPr>
          <w:rFonts w:hint="eastAsia"/>
        </w:rPr>
        <w:t>，</w:t>
      </w:r>
      <w:r>
        <w:t>总计保障约2万人</w:t>
      </w:r>
      <w:r>
        <w:rPr>
          <w:rFonts w:hint="eastAsia"/>
        </w:rPr>
        <w:t>，提供保障性租赁住房约</w:t>
      </w:r>
      <w:r>
        <w:t>1万</w:t>
      </w:r>
      <w:r>
        <w:rPr>
          <w:rFonts w:hint="eastAsia"/>
        </w:rPr>
        <w:t>套（间），优先保障城市重点产业、重点企业、城市公共服务类就业人员，具体分配规则可由两城两区主管部门制定。</w:t>
      </w:r>
    </w:p>
    <w:p>
      <w:pPr>
        <w:spacing w:before="120"/>
        <w:ind w:firstLine="643"/>
        <w:rPr>
          <w:b/>
        </w:rPr>
      </w:pPr>
      <w:r>
        <w:rPr>
          <w:b/>
        </w:rPr>
        <w:t>4.建设规模空间分布</w:t>
      </w:r>
    </w:p>
    <w:p>
      <w:pPr>
        <w:spacing w:before="120"/>
      </w:pPr>
      <w:r>
        <w:rPr>
          <w:rFonts w:hint="eastAsia"/>
        </w:rPr>
        <w:t>产业园区外来务工人员</w:t>
      </w:r>
      <w:r>
        <w:t>主要</w:t>
      </w:r>
      <w:r>
        <w:rPr>
          <w:rFonts w:hint="eastAsia"/>
        </w:rPr>
        <w:t>集中在智造新城，</w:t>
      </w:r>
      <w:r>
        <w:t>规划</w:t>
      </w:r>
      <w:r>
        <w:rPr>
          <w:rFonts w:hint="eastAsia"/>
        </w:rPr>
        <w:t>宿舍型保障性租赁住房主要分布在智造新城。新就业大学生的分布根据</w:t>
      </w:r>
      <w:r>
        <w:t>人社局</w:t>
      </w:r>
      <w:r>
        <w:rPr>
          <w:rFonts w:hint="eastAsia"/>
        </w:rPr>
        <w:t>各区</w:t>
      </w:r>
      <w:r>
        <w:t>不同学历人群就业情况</w:t>
      </w:r>
      <w:r>
        <w:rPr>
          <w:rFonts w:hint="eastAsia"/>
        </w:rPr>
        <w:t>，结合城市未来发展方向来</w:t>
      </w:r>
      <w:r>
        <w:t>确定</w:t>
      </w:r>
      <w:r>
        <w:rPr>
          <w:rFonts w:hint="eastAsia"/>
        </w:rPr>
        <w:t>。</w:t>
      </w:r>
      <w:r>
        <w:t>各功能单元的需求情况如下</w:t>
      </w:r>
      <w:r>
        <w:rPr>
          <w:rFonts w:hint="eastAsia"/>
        </w:rPr>
        <w:t>：</w:t>
      </w:r>
    </w:p>
    <w:p>
      <w:pPr>
        <w:spacing w:before="120"/>
      </w:pPr>
      <w:r>
        <w:rPr>
          <w:rFonts w:hint="eastAsia"/>
        </w:rPr>
        <w:t>柯城城区需保障的人数约</w:t>
      </w:r>
      <w:r>
        <w:t>0.27</w:t>
      </w:r>
      <w:r>
        <w:rPr>
          <w:rFonts w:hint="eastAsia"/>
        </w:rPr>
        <w:t>万人，需新增保障性租赁住房</w:t>
      </w:r>
      <w:r>
        <w:t>0.21</w:t>
      </w:r>
      <w:r>
        <w:rPr>
          <w:rFonts w:hint="eastAsia"/>
        </w:rPr>
        <w:t>万套（间）。衢江城区需保障的人数约</w:t>
      </w:r>
      <w:r>
        <w:t>0.13</w:t>
      </w:r>
      <w:r>
        <w:rPr>
          <w:rFonts w:hint="eastAsia"/>
        </w:rPr>
        <w:t>万人，需新增保障性租赁住房</w:t>
      </w:r>
      <w:r>
        <w:t>0.11</w:t>
      </w:r>
      <w:r>
        <w:rPr>
          <w:rFonts w:hint="eastAsia"/>
        </w:rPr>
        <w:t>万套（间）。智慧新城需保障的人数约</w:t>
      </w:r>
      <w:r>
        <w:t>0.27</w:t>
      </w:r>
      <w:r>
        <w:rPr>
          <w:rFonts w:hint="eastAsia"/>
        </w:rPr>
        <w:t>万人，需新增保障性租赁住房</w:t>
      </w:r>
      <w:r>
        <w:t>0.21</w:t>
      </w:r>
      <w:r>
        <w:rPr>
          <w:rFonts w:hint="eastAsia"/>
        </w:rPr>
        <w:t>万套（间）。智造新城需保障的人数约</w:t>
      </w:r>
      <w:r>
        <w:t>1.33</w:t>
      </w:r>
      <w:r>
        <w:rPr>
          <w:rFonts w:hint="eastAsia"/>
        </w:rPr>
        <w:t>万人，其中大学生</w:t>
      </w:r>
      <w:r>
        <w:t>0.23</w:t>
      </w:r>
      <w:r>
        <w:rPr>
          <w:rFonts w:hint="eastAsia"/>
        </w:rPr>
        <w:t>万人，外来务工人员</w:t>
      </w:r>
      <w:r>
        <w:t>1.1</w:t>
      </w:r>
      <w:r>
        <w:rPr>
          <w:rFonts w:hint="eastAsia"/>
        </w:rPr>
        <w:t>万人，需新增保障性租赁住房</w:t>
      </w:r>
      <w:r>
        <w:t>0.47</w:t>
      </w:r>
      <w:r>
        <w:rPr>
          <w:rFonts w:hint="eastAsia"/>
        </w:rPr>
        <w:t>万套（间）。</w:t>
      </w:r>
    </w:p>
    <w:p>
      <w:pPr>
        <w:spacing w:before="120"/>
      </w:pPr>
      <w:r>
        <w:rPr>
          <w:rFonts w:hint="eastAsia"/>
        </w:rPr>
        <w:t>在供需匹配上，智造新城的外来务工人员多集中在高新园区的大型化工企业，从安全、职住平衡等角度考虑，难以在智造新城内选址居住，较为理想的选址地点在柯城城区。规划统筹考虑智造新城和柯城城区的保障性租赁住房需求，实现空间跨区域协同供给。</w:t>
      </w:r>
    </w:p>
    <w:p>
      <w:pPr>
        <w:spacing w:before="120"/>
        <w:ind w:firstLine="0" w:firstLineChars="0"/>
        <w:jc w:val="center"/>
        <w:rPr>
          <w:b/>
          <w:sz w:val="28"/>
          <w:szCs w:val="36"/>
        </w:rPr>
      </w:pPr>
      <w:r>
        <w:rPr>
          <w:rFonts w:hint="eastAsia"/>
          <w:b/>
          <w:sz w:val="28"/>
          <w:szCs w:val="36"/>
        </w:rPr>
        <w:t>表</w:t>
      </w:r>
      <w:r>
        <w:rPr>
          <w:b/>
          <w:sz w:val="28"/>
          <w:szCs w:val="36"/>
        </w:rPr>
        <w:t xml:space="preserve">1 </w:t>
      </w:r>
      <w:r>
        <w:rPr>
          <w:rFonts w:hint="eastAsia"/>
          <w:b/>
          <w:sz w:val="28"/>
          <w:szCs w:val="36"/>
        </w:rPr>
        <w:t>各功能单元建设规模一览表</w:t>
      </w:r>
    </w:p>
    <w:tbl>
      <w:tblPr>
        <w:tblStyle w:val="23"/>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946"/>
        <w:gridCol w:w="1275"/>
        <w:gridCol w:w="993"/>
        <w:gridCol w:w="992"/>
        <w:gridCol w:w="992"/>
        <w:gridCol w:w="851"/>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0" w:type="auto"/>
            <w:shd w:val="clear" w:color="auto" w:fill="auto"/>
            <w:noWrap/>
            <w:vAlign w:val="center"/>
          </w:tcPr>
          <w:p>
            <w:pPr>
              <w:pStyle w:val="42"/>
              <w:spacing w:line="240" w:lineRule="auto"/>
              <w:rPr>
                <w:rFonts w:ascii="仿宋_GB2312" w:hAnsi="仿宋" w:eastAsia="仿宋_GB2312"/>
                <w:sz w:val="24"/>
                <w:szCs w:val="32"/>
              </w:rPr>
            </w:pPr>
          </w:p>
        </w:tc>
        <w:tc>
          <w:tcPr>
            <w:tcW w:w="2221" w:type="dxa"/>
            <w:gridSpan w:val="2"/>
            <w:vAlign w:val="center"/>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保障对象新增规模（万人）</w:t>
            </w:r>
          </w:p>
        </w:tc>
        <w:tc>
          <w:tcPr>
            <w:tcW w:w="3828" w:type="dxa"/>
            <w:gridSpan w:val="4"/>
            <w:shd w:val="clear" w:color="auto" w:fill="auto"/>
            <w:noWrap/>
            <w:vAlign w:val="center"/>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保障性租赁住房需求规模</w:t>
            </w:r>
          </w:p>
          <w:p>
            <w:pPr>
              <w:pStyle w:val="42"/>
              <w:spacing w:line="240" w:lineRule="auto"/>
              <w:rPr>
                <w:rFonts w:ascii="仿宋_GB2312" w:hAnsi="仿宋" w:eastAsia="仿宋_GB2312"/>
                <w:sz w:val="24"/>
                <w:szCs w:val="32"/>
              </w:rPr>
            </w:pPr>
            <w:r>
              <w:rPr>
                <w:rFonts w:hint="eastAsia" w:ascii="仿宋_GB2312" w:hAnsi="仿宋" w:eastAsia="仿宋_GB2312"/>
                <w:sz w:val="24"/>
                <w:szCs w:val="32"/>
              </w:rPr>
              <w:t>（万套/间）</w:t>
            </w:r>
          </w:p>
        </w:tc>
        <w:tc>
          <w:tcPr>
            <w:tcW w:w="1405" w:type="dxa"/>
            <w:vMerge w:val="restart"/>
          </w:tcPr>
          <w:p>
            <w:pPr>
              <w:pStyle w:val="42"/>
              <w:spacing w:line="240" w:lineRule="auto"/>
              <w:jc w:val="both"/>
              <w:rPr>
                <w:rFonts w:ascii="仿宋_GB2312" w:hAnsi="仿宋" w:eastAsia="仿宋_GB2312"/>
                <w:sz w:val="24"/>
                <w:szCs w:val="32"/>
              </w:rPr>
            </w:pPr>
            <w:r>
              <w:rPr>
                <w:rFonts w:hint="eastAsia" w:ascii="仿宋_GB2312" w:hAnsi="仿宋" w:eastAsia="仿宋_GB2312"/>
                <w:sz w:val="24"/>
                <w:szCs w:val="32"/>
              </w:rPr>
              <w:t>保障性租赁住房建设规模（万套</w:t>
            </w:r>
            <w:r>
              <w:rPr>
                <w:rFonts w:ascii="仿宋_GB2312" w:hAnsi="仿宋" w:eastAsia="仿宋_GB2312"/>
                <w:sz w:val="24"/>
                <w:szCs w:val="32"/>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0" w:type="auto"/>
            <w:shd w:val="clear" w:color="auto" w:fill="auto"/>
            <w:noWrap/>
            <w:vAlign w:val="center"/>
          </w:tcPr>
          <w:p>
            <w:pPr>
              <w:pStyle w:val="42"/>
              <w:spacing w:line="240" w:lineRule="auto"/>
              <w:rPr>
                <w:rFonts w:ascii="仿宋_GB2312" w:hAnsi="仿宋" w:eastAsia="仿宋_GB2312"/>
                <w:sz w:val="24"/>
                <w:szCs w:val="32"/>
              </w:rPr>
            </w:pPr>
          </w:p>
        </w:tc>
        <w:tc>
          <w:tcPr>
            <w:tcW w:w="946" w:type="dxa"/>
            <w:vAlign w:val="center"/>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大学生</w:t>
            </w:r>
          </w:p>
          <w:p>
            <w:pPr>
              <w:pStyle w:val="42"/>
              <w:spacing w:line="240" w:lineRule="auto"/>
              <w:rPr>
                <w:rFonts w:ascii="仿宋_GB2312" w:hAnsi="仿宋" w:eastAsia="仿宋_GB2312"/>
                <w:sz w:val="24"/>
                <w:szCs w:val="32"/>
              </w:rPr>
            </w:pPr>
            <w:r>
              <w:rPr>
                <w:rFonts w:ascii="仿宋_GB2312" w:hAnsi="仿宋" w:eastAsia="仿宋_GB2312"/>
                <w:sz w:val="24"/>
                <w:szCs w:val="32"/>
              </w:rPr>
              <w:t>A</w:t>
            </w:r>
          </w:p>
        </w:tc>
        <w:tc>
          <w:tcPr>
            <w:tcW w:w="1275" w:type="dxa"/>
            <w:shd w:val="clear" w:color="auto" w:fill="auto"/>
            <w:noWrap/>
            <w:vAlign w:val="center"/>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园区外来</w:t>
            </w:r>
          </w:p>
          <w:p>
            <w:pPr>
              <w:pStyle w:val="42"/>
              <w:spacing w:line="240" w:lineRule="auto"/>
              <w:rPr>
                <w:rFonts w:ascii="仿宋_GB2312" w:hAnsi="仿宋" w:eastAsia="仿宋_GB2312"/>
                <w:sz w:val="24"/>
                <w:szCs w:val="32"/>
              </w:rPr>
            </w:pPr>
            <w:r>
              <w:rPr>
                <w:rFonts w:hint="eastAsia" w:ascii="仿宋_GB2312" w:hAnsi="仿宋" w:eastAsia="仿宋_GB2312"/>
                <w:sz w:val="24"/>
                <w:szCs w:val="32"/>
              </w:rPr>
              <w:t>务工</w:t>
            </w:r>
            <w:r>
              <w:rPr>
                <w:rFonts w:ascii="仿宋_GB2312" w:hAnsi="仿宋" w:eastAsia="仿宋_GB2312"/>
                <w:sz w:val="24"/>
                <w:szCs w:val="32"/>
              </w:rPr>
              <w:t>B</w:t>
            </w:r>
          </w:p>
        </w:tc>
        <w:tc>
          <w:tcPr>
            <w:tcW w:w="993" w:type="dxa"/>
            <w:shd w:val="clear" w:color="auto" w:fill="auto"/>
            <w:noWrap/>
            <w:vAlign w:val="center"/>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单间型</w:t>
            </w:r>
          </w:p>
          <w:p>
            <w:pPr>
              <w:pStyle w:val="42"/>
              <w:spacing w:line="240" w:lineRule="auto"/>
              <w:rPr>
                <w:rFonts w:ascii="仿宋_GB2312" w:hAnsi="仿宋" w:eastAsia="仿宋_GB2312"/>
                <w:sz w:val="24"/>
                <w:szCs w:val="32"/>
              </w:rPr>
            </w:pPr>
            <w:r>
              <w:rPr>
                <w:rFonts w:ascii="仿宋_GB2312" w:hAnsi="仿宋" w:eastAsia="仿宋_GB2312"/>
                <w:sz w:val="24"/>
                <w:szCs w:val="32"/>
              </w:rPr>
              <w:t>C</w:t>
            </w:r>
          </w:p>
        </w:tc>
        <w:tc>
          <w:tcPr>
            <w:tcW w:w="992"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住宅型</w:t>
            </w:r>
          </w:p>
          <w:p>
            <w:pPr>
              <w:pStyle w:val="42"/>
              <w:spacing w:line="240" w:lineRule="auto"/>
              <w:rPr>
                <w:rFonts w:ascii="仿宋_GB2312" w:hAnsi="仿宋" w:eastAsia="仿宋_GB2312"/>
                <w:sz w:val="24"/>
                <w:szCs w:val="32"/>
              </w:rPr>
            </w:pPr>
            <w:r>
              <w:rPr>
                <w:rFonts w:ascii="仿宋_GB2312" w:hAnsi="仿宋" w:eastAsia="仿宋_GB2312"/>
                <w:sz w:val="24"/>
                <w:szCs w:val="32"/>
              </w:rPr>
              <w:t>D</w:t>
            </w:r>
          </w:p>
        </w:tc>
        <w:tc>
          <w:tcPr>
            <w:tcW w:w="992"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宿舍型</w:t>
            </w:r>
          </w:p>
          <w:p>
            <w:pPr>
              <w:pStyle w:val="42"/>
              <w:spacing w:line="240" w:lineRule="auto"/>
              <w:rPr>
                <w:rFonts w:ascii="仿宋_GB2312" w:hAnsi="仿宋" w:eastAsia="仿宋_GB2312"/>
                <w:sz w:val="24"/>
                <w:szCs w:val="32"/>
              </w:rPr>
            </w:pPr>
            <w:r>
              <w:rPr>
                <w:rFonts w:ascii="仿宋_GB2312" w:hAnsi="仿宋" w:eastAsia="仿宋_GB2312"/>
                <w:sz w:val="24"/>
                <w:szCs w:val="32"/>
              </w:rPr>
              <w:t>E</w:t>
            </w:r>
          </w:p>
        </w:tc>
        <w:tc>
          <w:tcPr>
            <w:tcW w:w="851"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总计</w:t>
            </w:r>
          </w:p>
          <w:p>
            <w:pPr>
              <w:pStyle w:val="42"/>
              <w:spacing w:line="240" w:lineRule="auto"/>
              <w:rPr>
                <w:rFonts w:ascii="仿宋_GB2312" w:hAnsi="仿宋" w:eastAsia="仿宋_GB2312"/>
                <w:sz w:val="24"/>
                <w:szCs w:val="32"/>
              </w:rPr>
            </w:pPr>
            <w:r>
              <w:rPr>
                <w:rFonts w:ascii="仿宋_GB2312" w:hAnsi="仿宋" w:eastAsia="仿宋_GB2312"/>
                <w:sz w:val="24"/>
                <w:szCs w:val="32"/>
              </w:rPr>
              <w:t>F</w:t>
            </w:r>
          </w:p>
        </w:tc>
        <w:tc>
          <w:tcPr>
            <w:tcW w:w="1405" w:type="dxa"/>
            <w:vMerge w:val="continue"/>
          </w:tcPr>
          <w:p>
            <w:pPr>
              <w:pStyle w:val="42"/>
              <w:spacing w:line="240" w:lineRule="auto"/>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0" w:type="auto"/>
            <w:shd w:val="clear" w:color="auto" w:fill="auto"/>
            <w:noWrap/>
            <w:vAlign w:val="center"/>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柯城城区</w:t>
            </w:r>
          </w:p>
        </w:tc>
        <w:tc>
          <w:tcPr>
            <w:tcW w:w="946" w:type="dxa"/>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0.27</w:t>
            </w:r>
          </w:p>
        </w:tc>
        <w:tc>
          <w:tcPr>
            <w:tcW w:w="1275" w:type="dxa"/>
            <w:shd w:val="clear" w:color="auto" w:fill="auto"/>
            <w:noWrap/>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w:t>
            </w:r>
          </w:p>
        </w:tc>
        <w:tc>
          <w:tcPr>
            <w:tcW w:w="993" w:type="dxa"/>
            <w:shd w:val="clear" w:color="auto" w:fill="auto"/>
            <w:noWrap/>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0.14</w:t>
            </w:r>
          </w:p>
        </w:tc>
        <w:tc>
          <w:tcPr>
            <w:tcW w:w="992" w:type="dxa"/>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0.07</w:t>
            </w:r>
          </w:p>
        </w:tc>
        <w:tc>
          <w:tcPr>
            <w:tcW w:w="992"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w:t>
            </w:r>
          </w:p>
        </w:tc>
        <w:tc>
          <w:tcPr>
            <w:tcW w:w="851" w:type="dxa"/>
            <w:vAlign w:val="center"/>
          </w:tcPr>
          <w:p>
            <w:pPr>
              <w:pStyle w:val="42"/>
              <w:spacing w:line="240" w:lineRule="auto"/>
              <w:rPr>
                <w:rFonts w:ascii="仿宋_GB2312" w:hAnsi="仿宋" w:eastAsia="仿宋_GB2312"/>
                <w:b/>
                <w:sz w:val="24"/>
                <w:szCs w:val="32"/>
              </w:rPr>
            </w:pPr>
            <w:r>
              <w:rPr>
                <w:rFonts w:ascii="仿宋_GB2312" w:hAnsi="仿宋" w:eastAsia="仿宋_GB2312"/>
                <w:b/>
                <w:sz w:val="24"/>
                <w:szCs w:val="32"/>
              </w:rPr>
              <w:t xml:space="preserve">0.21 </w:t>
            </w:r>
          </w:p>
        </w:tc>
        <w:tc>
          <w:tcPr>
            <w:tcW w:w="1405" w:type="dxa"/>
          </w:tcPr>
          <w:p>
            <w:pPr>
              <w:pStyle w:val="42"/>
              <w:spacing w:line="240" w:lineRule="auto"/>
              <w:rPr>
                <w:rFonts w:ascii="仿宋_GB2312" w:hAnsi="仿宋" w:eastAsia="仿宋_GB2312"/>
                <w:b/>
                <w:sz w:val="24"/>
                <w:szCs w:val="32"/>
              </w:rPr>
            </w:pPr>
            <w:r>
              <w:rPr>
                <w:rFonts w:hint="eastAsia" w:ascii="仿宋_GB2312" w:hAnsi="仿宋" w:eastAsia="仿宋_GB2312"/>
                <w:b/>
                <w:sz w:val="24"/>
                <w:szCs w:val="32"/>
              </w:rPr>
              <w:t>0</w:t>
            </w:r>
            <w:r>
              <w:rPr>
                <w:rFonts w:ascii="仿宋_GB2312" w:hAnsi="仿宋" w:eastAsia="仿宋_GB2312"/>
                <w:b/>
                <w:sz w:val="24"/>
                <w:szCs w:val="32"/>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0" w:type="auto"/>
            <w:shd w:val="clear" w:color="auto" w:fill="auto"/>
            <w:noWrap/>
            <w:vAlign w:val="center"/>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衢江城区</w:t>
            </w:r>
          </w:p>
        </w:tc>
        <w:tc>
          <w:tcPr>
            <w:tcW w:w="946" w:type="dxa"/>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0.13</w:t>
            </w:r>
          </w:p>
        </w:tc>
        <w:tc>
          <w:tcPr>
            <w:tcW w:w="1275" w:type="dxa"/>
            <w:shd w:val="clear" w:color="auto" w:fill="auto"/>
            <w:noWrap/>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w:t>
            </w:r>
          </w:p>
        </w:tc>
        <w:tc>
          <w:tcPr>
            <w:tcW w:w="993" w:type="dxa"/>
            <w:shd w:val="clear" w:color="auto" w:fill="auto"/>
            <w:noWrap/>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0.07</w:t>
            </w:r>
          </w:p>
        </w:tc>
        <w:tc>
          <w:tcPr>
            <w:tcW w:w="992" w:type="dxa"/>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0.04</w:t>
            </w:r>
          </w:p>
        </w:tc>
        <w:tc>
          <w:tcPr>
            <w:tcW w:w="992"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w:t>
            </w:r>
          </w:p>
        </w:tc>
        <w:tc>
          <w:tcPr>
            <w:tcW w:w="851" w:type="dxa"/>
            <w:vAlign w:val="center"/>
          </w:tcPr>
          <w:p>
            <w:pPr>
              <w:pStyle w:val="42"/>
              <w:spacing w:line="240" w:lineRule="auto"/>
              <w:rPr>
                <w:rFonts w:ascii="仿宋_GB2312" w:hAnsi="仿宋" w:eastAsia="仿宋_GB2312"/>
                <w:b/>
                <w:sz w:val="24"/>
                <w:szCs w:val="32"/>
              </w:rPr>
            </w:pPr>
            <w:r>
              <w:rPr>
                <w:rFonts w:ascii="仿宋_GB2312" w:hAnsi="仿宋" w:eastAsia="仿宋_GB2312"/>
                <w:b/>
                <w:sz w:val="24"/>
                <w:szCs w:val="32"/>
              </w:rPr>
              <w:t xml:space="preserve">0.11 </w:t>
            </w:r>
          </w:p>
        </w:tc>
        <w:tc>
          <w:tcPr>
            <w:tcW w:w="1405" w:type="dxa"/>
          </w:tcPr>
          <w:p>
            <w:pPr>
              <w:pStyle w:val="42"/>
              <w:spacing w:line="240" w:lineRule="auto"/>
              <w:rPr>
                <w:rFonts w:ascii="仿宋_GB2312" w:hAnsi="仿宋" w:eastAsia="仿宋_GB2312"/>
                <w:b/>
                <w:sz w:val="24"/>
                <w:szCs w:val="32"/>
              </w:rPr>
            </w:pPr>
            <w:r>
              <w:rPr>
                <w:rFonts w:hint="eastAsia" w:ascii="仿宋_GB2312" w:hAnsi="仿宋" w:eastAsia="仿宋_GB2312"/>
                <w:b/>
                <w:sz w:val="24"/>
                <w:szCs w:val="32"/>
              </w:rPr>
              <w:t>0</w:t>
            </w:r>
            <w:r>
              <w:rPr>
                <w:rFonts w:ascii="仿宋_GB2312" w:hAnsi="仿宋" w:eastAsia="仿宋_GB2312"/>
                <w:b/>
                <w:sz w:val="24"/>
                <w:szCs w:val="3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0" w:type="auto"/>
            <w:shd w:val="clear" w:color="auto" w:fill="auto"/>
            <w:noWrap/>
            <w:vAlign w:val="center"/>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智慧新城</w:t>
            </w:r>
          </w:p>
        </w:tc>
        <w:tc>
          <w:tcPr>
            <w:tcW w:w="946" w:type="dxa"/>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0.27</w:t>
            </w:r>
          </w:p>
        </w:tc>
        <w:tc>
          <w:tcPr>
            <w:tcW w:w="1275" w:type="dxa"/>
            <w:shd w:val="clear" w:color="auto" w:fill="auto"/>
            <w:noWrap/>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w:t>
            </w:r>
          </w:p>
        </w:tc>
        <w:tc>
          <w:tcPr>
            <w:tcW w:w="993" w:type="dxa"/>
            <w:shd w:val="clear" w:color="auto" w:fill="auto"/>
            <w:noWrap/>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0.14</w:t>
            </w:r>
          </w:p>
        </w:tc>
        <w:tc>
          <w:tcPr>
            <w:tcW w:w="992" w:type="dxa"/>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0.07</w:t>
            </w:r>
          </w:p>
        </w:tc>
        <w:tc>
          <w:tcPr>
            <w:tcW w:w="992"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w:t>
            </w:r>
          </w:p>
        </w:tc>
        <w:tc>
          <w:tcPr>
            <w:tcW w:w="851" w:type="dxa"/>
            <w:vAlign w:val="center"/>
          </w:tcPr>
          <w:p>
            <w:pPr>
              <w:pStyle w:val="42"/>
              <w:spacing w:line="240" w:lineRule="auto"/>
              <w:rPr>
                <w:rFonts w:ascii="仿宋_GB2312" w:hAnsi="仿宋" w:eastAsia="仿宋_GB2312"/>
                <w:b/>
                <w:sz w:val="24"/>
                <w:szCs w:val="32"/>
              </w:rPr>
            </w:pPr>
            <w:r>
              <w:rPr>
                <w:rFonts w:ascii="仿宋_GB2312" w:hAnsi="仿宋" w:eastAsia="仿宋_GB2312"/>
                <w:b/>
                <w:sz w:val="24"/>
                <w:szCs w:val="32"/>
              </w:rPr>
              <w:t xml:space="preserve">0.21 </w:t>
            </w:r>
          </w:p>
        </w:tc>
        <w:tc>
          <w:tcPr>
            <w:tcW w:w="1405" w:type="dxa"/>
          </w:tcPr>
          <w:p>
            <w:pPr>
              <w:pStyle w:val="42"/>
              <w:spacing w:line="240" w:lineRule="auto"/>
              <w:rPr>
                <w:rFonts w:ascii="仿宋_GB2312" w:hAnsi="仿宋" w:eastAsia="仿宋_GB2312"/>
                <w:b/>
                <w:sz w:val="24"/>
                <w:szCs w:val="32"/>
              </w:rPr>
            </w:pPr>
            <w:r>
              <w:rPr>
                <w:rFonts w:hint="eastAsia" w:ascii="仿宋_GB2312" w:hAnsi="仿宋" w:eastAsia="仿宋_GB2312"/>
                <w:b/>
                <w:sz w:val="24"/>
                <w:szCs w:val="32"/>
              </w:rPr>
              <w:t>0</w:t>
            </w:r>
            <w:r>
              <w:rPr>
                <w:rFonts w:ascii="仿宋_GB2312" w:hAnsi="仿宋" w:eastAsia="仿宋_GB2312"/>
                <w:b/>
                <w:sz w:val="24"/>
                <w:szCs w:val="3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0" w:type="auto"/>
            <w:shd w:val="clear" w:color="auto" w:fill="auto"/>
            <w:noWrap/>
            <w:vAlign w:val="center"/>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智造新城</w:t>
            </w:r>
          </w:p>
        </w:tc>
        <w:tc>
          <w:tcPr>
            <w:tcW w:w="946" w:type="dxa"/>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0.23</w:t>
            </w:r>
          </w:p>
        </w:tc>
        <w:tc>
          <w:tcPr>
            <w:tcW w:w="1275" w:type="dxa"/>
            <w:shd w:val="clear" w:color="auto" w:fill="auto"/>
            <w:noWrap/>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1.1</w:t>
            </w:r>
          </w:p>
        </w:tc>
        <w:tc>
          <w:tcPr>
            <w:tcW w:w="993" w:type="dxa"/>
            <w:shd w:val="clear" w:color="auto" w:fill="auto"/>
            <w:noWrap/>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0.12</w:t>
            </w:r>
          </w:p>
        </w:tc>
        <w:tc>
          <w:tcPr>
            <w:tcW w:w="992" w:type="dxa"/>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0.07</w:t>
            </w:r>
          </w:p>
        </w:tc>
        <w:tc>
          <w:tcPr>
            <w:tcW w:w="992" w:type="dxa"/>
          </w:tcPr>
          <w:p>
            <w:pPr>
              <w:pStyle w:val="42"/>
              <w:spacing w:line="240" w:lineRule="auto"/>
              <w:rPr>
                <w:rFonts w:ascii="仿宋_GB2312" w:hAnsi="仿宋" w:eastAsia="仿宋_GB2312"/>
                <w:sz w:val="24"/>
                <w:szCs w:val="32"/>
              </w:rPr>
            </w:pPr>
            <w:r>
              <w:rPr>
                <w:rFonts w:ascii="仿宋_GB2312" w:hAnsi="仿宋" w:eastAsia="仿宋_GB2312"/>
                <w:sz w:val="24"/>
                <w:szCs w:val="32"/>
              </w:rPr>
              <w:t>0.28</w:t>
            </w:r>
          </w:p>
        </w:tc>
        <w:tc>
          <w:tcPr>
            <w:tcW w:w="851" w:type="dxa"/>
            <w:vAlign w:val="center"/>
          </w:tcPr>
          <w:p>
            <w:pPr>
              <w:pStyle w:val="42"/>
              <w:spacing w:line="240" w:lineRule="auto"/>
              <w:rPr>
                <w:rFonts w:ascii="仿宋_GB2312" w:hAnsi="仿宋" w:eastAsia="仿宋_GB2312"/>
                <w:b/>
                <w:sz w:val="24"/>
                <w:szCs w:val="32"/>
              </w:rPr>
            </w:pPr>
            <w:r>
              <w:rPr>
                <w:rFonts w:ascii="仿宋_GB2312" w:hAnsi="仿宋" w:eastAsia="仿宋_GB2312"/>
                <w:b/>
                <w:sz w:val="24"/>
                <w:szCs w:val="32"/>
              </w:rPr>
              <w:t xml:space="preserve">0.47 </w:t>
            </w:r>
          </w:p>
        </w:tc>
        <w:tc>
          <w:tcPr>
            <w:tcW w:w="1405" w:type="dxa"/>
          </w:tcPr>
          <w:p>
            <w:pPr>
              <w:pStyle w:val="42"/>
              <w:spacing w:line="240" w:lineRule="auto"/>
              <w:rPr>
                <w:rFonts w:ascii="仿宋_GB2312" w:hAnsi="仿宋" w:eastAsia="仿宋_GB2312"/>
                <w:b/>
                <w:sz w:val="24"/>
                <w:szCs w:val="32"/>
              </w:rPr>
            </w:pPr>
            <w:r>
              <w:rPr>
                <w:rFonts w:hint="eastAsia" w:ascii="仿宋_GB2312" w:hAnsi="仿宋" w:eastAsia="仿宋_GB2312"/>
                <w:b/>
                <w:sz w:val="24"/>
                <w:szCs w:val="32"/>
              </w:rPr>
              <w:t>0</w:t>
            </w:r>
            <w:r>
              <w:rPr>
                <w:rFonts w:ascii="仿宋_GB2312" w:hAnsi="仿宋" w:eastAsia="仿宋_GB2312"/>
                <w:b/>
                <w:sz w:val="24"/>
                <w:szCs w:val="3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0" w:type="auto"/>
            <w:shd w:val="clear" w:color="auto" w:fill="auto"/>
            <w:noWrap/>
            <w:vAlign w:val="center"/>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总计</w:t>
            </w:r>
          </w:p>
        </w:tc>
        <w:tc>
          <w:tcPr>
            <w:tcW w:w="946" w:type="dxa"/>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0.90</w:t>
            </w:r>
          </w:p>
        </w:tc>
        <w:tc>
          <w:tcPr>
            <w:tcW w:w="1275" w:type="dxa"/>
            <w:shd w:val="clear" w:color="auto" w:fill="auto"/>
            <w:noWrap/>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1.1</w:t>
            </w:r>
          </w:p>
        </w:tc>
        <w:tc>
          <w:tcPr>
            <w:tcW w:w="993" w:type="dxa"/>
            <w:shd w:val="clear" w:color="auto" w:fill="auto"/>
            <w:noWrap/>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0.47</w:t>
            </w:r>
          </w:p>
        </w:tc>
        <w:tc>
          <w:tcPr>
            <w:tcW w:w="992" w:type="dxa"/>
            <w:vAlign w:val="center"/>
          </w:tcPr>
          <w:p>
            <w:pPr>
              <w:pStyle w:val="42"/>
              <w:spacing w:line="240" w:lineRule="auto"/>
              <w:rPr>
                <w:rFonts w:ascii="仿宋_GB2312" w:hAnsi="仿宋" w:eastAsia="仿宋_GB2312"/>
                <w:sz w:val="24"/>
                <w:szCs w:val="32"/>
              </w:rPr>
            </w:pPr>
            <w:r>
              <w:rPr>
                <w:rFonts w:ascii="仿宋_GB2312" w:hAnsi="仿宋" w:eastAsia="仿宋_GB2312"/>
                <w:sz w:val="24"/>
                <w:szCs w:val="32"/>
              </w:rPr>
              <w:t>0.25</w:t>
            </w:r>
          </w:p>
        </w:tc>
        <w:tc>
          <w:tcPr>
            <w:tcW w:w="992" w:type="dxa"/>
          </w:tcPr>
          <w:p>
            <w:pPr>
              <w:pStyle w:val="42"/>
              <w:spacing w:line="240" w:lineRule="auto"/>
              <w:rPr>
                <w:rFonts w:ascii="仿宋_GB2312" w:hAnsi="仿宋" w:eastAsia="仿宋_GB2312"/>
                <w:sz w:val="24"/>
                <w:szCs w:val="32"/>
              </w:rPr>
            </w:pPr>
            <w:r>
              <w:rPr>
                <w:rFonts w:ascii="仿宋_GB2312" w:hAnsi="仿宋" w:eastAsia="仿宋_GB2312"/>
                <w:sz w:val="24"/>
                <w:szCs w:val="32"/>
              </w:rPr>
              <w:t>0.28</w:t>
            </w:r>
          </w:p>
        </w:tc>
        <w:tc>
          <w:tcPr>
            <w:tcW w:w="851" w:type="dxa"/>
            <w:vAlign w:val="center"/>
          </w:tcPr>
          <w:p>
            <w:pPr>
              <w:pStyle w:val="42"/>
              <w:spacing w:line="240" w:lineRule="auto"/>
              <w:rPr>
                <w:rFonts w:ascii="仿宋_GB2312" w:hAnsi="仿宋" w:eastAsia="仿宋_GB2312"/>
                <w:b/>
                <w:sz w:val="24"/>
                <w:szCs w:val="32"/>
              </w:rPr>
            </w:pPr>
            <w:r>
              <w:rPr>
                <w:rFonts w:ascii="仿宋_GB2312" w:hAnsi="仿宋" w:eastAsia="仿宋_GB2312"/>
                <w:b/>
                <w:sz w:val="24"/>
                <w:szCs w:val="32"/>
              </w:rPr>
              <w:t>1.00</w:t>
            </w:r>
          </w:p>
        </w:tc>
        <w:tc>
          <w:tcPr>
            <w:tcW w:w="1405" w:type="dxa"/>
          </w:tcPr>
          <w:p>
            <w:pPr>
              <w:pStyle w:val="42"/>
              <w:spacing w:line="240" w:lineRule="auto"/>
              <w:rPr>
                <w:rFonts w:ascii="仿宋_GB2312" w:hAnsi="仿宋" w:eastAsia="仿宋_GB2312"/>
                <w:b/>
                <w:sz w:val="24"/>
                <w:szCs w:val="32"/>
              </w:rPr>
            </w:pPr>
            <w:r>
              <w:rPr>
                <w:rFonts w:hint="eastAsia" w:ascii="仿宋_GB2312" w:hAnsi="仿宋" w:eastAsia="仿宋_GB2312"/>
                <w:b/>
                <w:sz w:val="24"/>
                <w:szCs w:val="32"/>
              </w:rPr>
              <w:t>1</w:t>
            </w:r>
            <w:r>
              <w:rPr>
                <w:rFonts w:ascii="仿宋_GB2312" w:hAnsi="仿宋" w:eastAsia="仿宋_GB2312"/>
                <w:b/>
                <w:sz w:val="24"/>
                <w:szCs w:val="32"/>
              </w:rPr>
              <w:t>.00</w:t>
            </w:r>
          </w:p>
        </w:tc>
      </w:tr>
    </w:tbl>
    <w:p>
      <w:pPr>
        <w:pStyle w:val="42"/>
        <w:spacing w:before="60"/>
        <w:ind w:firstLine="480" w:firstLineChars="200"/>
        <w:jc w:val="left"/>
        <w:rPr>
          <w:rFonts w:ascii="仿宋_GB2312" w:hAnsi="仿宋" w:eastAsia="仿宋_GB2312"/>
          <w:sz w:val="24"/>
          <w:szCs w:val="24"/>
        </w:rPr>
      </w:pPr>
      <w:r>
        <w:rPr>
          <w:rFonts w:hint="eastAsia" w:ascii="仿宋_GB2312" w:hAnsi="仿宋" w:eastAsia="仿宋_GB2312"/>
          <w:sz w:val="24"/>
          <w:szCs w:val="24"/>
        </w:rPr>
        <w:t>注：</w:t>
      </w:r>
      <w:r>
        <w:rPr>
          <w:rFonts w:ascii="仿宋_GB2312" w:hAnsi="仿宋" w:eastAsia="仿宋_GB2312"/>
          <w:sz w:val="24"/>
          <w:szCs w:val="24"/>
        </w:rPr>
        <w:t>C=A/1.25*（5/8），D= A/1.25*（3/8），E=B/4</w:t>
      </w:r>
      <w:r>
        <w:rPr>
          <w:rFonts w:hint="eastAsia" w:ascii="仿宋_GB2312" w:hAnsi="仿宋" w:eastAsia="仿宋_GB2312"/>
          <w:sz w:val="24"/>
          <w:szCs w:val="24"/>
        </w:rPr>
        <w:t>，</w:t>
      </w:r>
      <w:r>
        <w:rPr>
          <w:rFonts w:ascii="仿宋_GB2312" w:hAnsi="仿宋" w:eastAsia="仿宋_GB2312"/>
          <w:sz w:val="24"/>
          <w:szCs w:val="24"/>
        </w:rPr>
        <w:t>F=C+D+E</w:t>
      </w:r>
    </w:p>
    <w:p>
      <w:pPr>
        <w:pStyle w:val="42"/>
        <w:spacing w:before="60"/>
        <w:ind w:firstLine="480" w:firstLineChars="200"/>
        <w:jc w:val="left"/>
        <w:rPr>
          <w:rFonts w:ascii="仿宋_GB2312" w:hAnsi="仿宋" w:eastAsia="仿宋_GB2312"/>
          <w:sz w:val="24"/>
          <w:szCs w:val="24"/>
        </w:rPr>
      </w:pPr>
      <w:r>
        <w:rPr>
          <w:rFonts w:hint="eastAsia" w:ascii="仿宋_GB2312" w:hAnsi="仿宋" w:eastAsia="仿宋_GB2312"/>
          <w:sz w:val="24"/>
          <w:szCs w:val="24"/>
        </w:rPr>
        <w:t>新就业大学生，以单间型和住宅型为主，平均居住</w:t>
      </w:r>
      <w:r>
        <w:rPr>
          <w:rFonts w:ascii="仿宋_GB2312" w:hAnsi="仿宋" w:eastAsia="仿宋_GB2312"/>
          <w:sz w:val="24"/>
          <w:szCs w:val="24"/>
        </w:rPr>
        <w:t>1.25人/套</w:t>
      </w:r>
      <w:r>
        <w:rPr>
          <w:rFonts w:hint="eastAsia" w:ascii="仿宋_GB2312" w:hAnsi="仿宋" w:eastAsia="仿宋_GB2312"/>
          <w:sz w:val="24"/>
          <w:szCs w:val="24"/>
        </w:rPr>
        <w:t>（间）</w:t>
      </w:r>
      <w:r>
        <w:rPr>
          <w:rFonts w:ascii="仿宋_GB2312" w:hAnsi="仿宋" w:eastAsia="仿宋_GB2312"/>
          <w:sz w:val="24"/>
          <w:szCs w:val="24"/>
        </w:rPr>
        <w:t>，</w:t>
      </w:r>
      <w:r>
        <w:rPr>
          <w:rFonts w:hint="eastAsia" w:ascii="仿宋_GB2312" w:hAnsi="仿宋" w:eastAsia="仿宋_GB2312"/>
          <w:sz w:val="24"/>
          <w:szCs w:val="24"/>
        </w:rPr>
        <w:t>并</w:t>
      </w:r>
      <w:r>
        <w:rPr>
          <w:rFonts w:ascii="仿宋_GB2312" w:hAnsi="仿宋" w:eastAsia="仿宋_GB2312"/>
          <w:sz w:val="24"/>
          <w:szCs w:val="24"/>
        </w:rPr>
        <w:t>按5:3配置单间型和住宅型</w:t>
      </w:r>
      <w:r>
        <w:rPr>
          <w:rFonts w:hint="eastAsia" w:ascii="仿宋_GB2312" w:hAnsi="仿宋" w:eastAsia="仿宋_GB2312"/>
          <w:sz w:val="24"/>
          <w:szCs w:val="24"/>
        </w:rPr>
        <w:t>。园区外来务工人员，以宿舍型为主，平均居住</w:t>
      </w:r>
      <w:r>
        <w:rPr>
          <w:rFonts w:ascii="仿宋_GB2312" w:hAnsi="仿宋" w:eastAsia="仿宋_GB2312"/>
          <w:sz w:val="24"/>
          <w:szCs w:val="24"/>
        </w:rPr>
        <w:t>4人/间。</w:t>
      </w:r>
      <w:r>
        <w:rPr>
          <w:rFonts w:hint="eastAsia" w:ascii="仿宋_GB2312" w:hAnsi="仿宋" w:eastAsia="仿宋_GB2312"/>
          <w:sz w:val="24"/>
          <w:szCs w:val="24"/>
        </w:rPr>
        <w:t>考虑四舍五入情况，各功能单元数量在上述测算基础上进行微调。户型需求作为参考指标，在实际配置中，各区可以根据项目情况进行户型调整。</w:t>
      </w:r>
    </w:p>
    <w:p>
      <w:pPr>
        <w:spacing w:before="60" w:beforeLines="0" w:line="240" w:lineRule="auto"/>
        <w:ind w:firstLine="480"/>
        <w:rPr>
          <w:color w:val="000000" w:themeColor="text1"/>
          <w14:textFill>
            <w14:solidFill>
              <w14:schemeClr w14:val="tx1"/>
            </w14:solidFill>
          </w14:textFill>
        </w:rPr>
      </w:pPr>
      <w:r>
        <w:rPr>
          <w:sz w:val="24"/>
          <w:szCs w:val="24"/>
        </w:rPr>
        <w:t>目前智造新城的华友集团已经在柯城双西港区域选址建设员工宿舍</w:t>
      </w:r>
      <w:r>
        <w:rPr>
          <w:rFonts w:hint="eastAsia"/>
          <w:sz w:val="24"/>
          <w:szCs w:val="24"/>
        </w:rPr>
        <w:t>3</w:t>
      </w:r>
      <w:r>
        <w:rPr>
          <w:sz w:val="24"/>
          <w:szCs w:val="24"/>
        </w:rPr>
        <w:t>000套</w:t>
      </w:r>
      <w:r>
        <w:rPr>
          <w:rFonts w:hint="eastAsia"/>
          <w:sz w:val="24"/>
          <w:szCs w:val="24"/>
        </w:rPr>
        <w:t>（间），表格中</w:t>
      </w:r>
      <w:r>
        <w:rPr>
          <w:sz w:val="24"/>
          <w:szCs w:val="24"/>
        </w:rPr>
        <w:t>保障性租赁住房建设规模部分已经统筹了该部分需求</w:t>
      </w:r>
      <w:r>
        <w:rPr>
          <w:rFonts w:hint="eastAsia"/>
          <w:sz w:val="24"/>
          <w:szCs w:val="24"/>
        </w:rPr>
        <w:t>。</w:t>
      </w:r>
      <w:r>
        <w:rPr>
          <w:rFonts w:hint="eastAsia"/>
          <w:color w:val="000000" w:themeColor="text1"/>
          <w14:textFill>
            <w14:solidFill>
              <w14:schemeClr w14:val="tx1"/>
            </w14:solidFill>
          </w14:textFill>
        </w:rPr>
        <w:t xml:space="preserve"> </w:t>
      </w:r>
    </w:p>
    <w:p>
      <w:pPr>
        <w:spacing w:before="120"/>
        <w:ind w:firstLine="643"/>
        <w:rPr>
          <w:b/>
          <w:bCs/>
          <w:color w:val="000000" w:themeColor="text1"/>
          <w14:textFill>
            <w14:solidFill>
              <w14:schemeClr w14:val="tx1"/>
            </w14:solidFill>
          </w14:textFill>
        </w:rPr>
      </w:pPr>
      <w:r>
        <w:rPr>
          <w:b/>
          <w:bCs/>
          <w:color w:val="000000" w:themeColor="text1"/>
          <w14:textFill>
            <w14:solidFill>
              <w14:schemeClr w14:val="tx1"/>
            </w14:solidFill>
          </w14:textFill>
        </w:rPr>
        <w:t>5.</w:t>
      </w:r>
      <w:r>
        <w:rPr>
          <w:rFonts w:hint="eastAsia"/>
          <w:b/>
          <w:bCs/>
          <w:color w:val="000000" w:themeColor="text1"/>
          <w14:textFill>
            <w14:solidFill>
              <w14:schemeClr w14:val="tx1"/>
            </w14:solidFill>
          </w14:textFill>
        </w:rPr>
        <w:t>分期目标</w:t>
      </w:r>
    </w:p>
    <w:p>
      <w:pPr>
        <w:spacing w:before="120"/>
        <w:ind w:firstLine="643"/>
        <w:rPr>
          <w:color w:val="000000" w:themeColor="text1"/>
          <w14:textFill>
            <w14:solidFill>
              <w14:schemeClr w14:val="tx1"/>
            </w14:solidFill>
          </w14:textFill>
        </w:rPr>
      </w:pPr>
      <w:r>
        <w:rPr>
          <w:b/>
          <w:color w:val="000000" w:themeColor="text1"/>
          <w14:textFill>
            <w14:solidFill>
              <w14:schemeClr w14:val="tx1"/>
            </w14:solidFill>
          </w14:textFill>
        </w:rPr>
        <w:t>前期（2021年）</w:t>
      </w:r>
      <w:r>
        <w:rPr>
          <w:color w:val="000000" w:themeColor="text1"/>
          <w14:textFill>
            <w14:solidFill>
              <w14:schemeClr w14:val="tx1"/>
            </w14:solidFill>
          </w14:textFill>
        </w:rPr>
        <w:t>，聚焦于建立保障性租赁住房建设管理机制</w:t>
      </w:r>
      <w:r>
        <w:rPr>
          <w:rFonts w:hint="eastAsia"/>
          <w:color w:val="000000" w:themeColor="text1"/>
          <w14:textFill>
            <w14:solidFill>
              <w14:schemeClr w14:val="tx1"/>
            </w14:solidFill>
          </w14:textFill>
        </w:rPr>
        <w:t>，启动</w:t>
      </w:r>
      <w:r>
        <w:rPr>
          <w:color w:val="000000" w:themeColor="text1"/>
          <w14:textFill>
            <w14:solidFill>
              <w14:schemeClr w14:val="tx1"/>
            </w14:solidFill>
          </w14:textFill>
        </w:rPr>
        <w:t>各项配套政策</w:t>
      </w:r>
      <w:r>
        <w:rPr>
          <w:rFonts w:hint="eastAsia"/>
          <w:color w:val="000000" w:themeColor="text1"/>
          <w14:textFill>
            <w14:solidFill>
              <w14:schemeClr w14:val="tx1"/>
            </w14:solidFill>
          </w14:textFill>
        </w:rPr>
        <w:t>制定、规划编制和保障性租赁住房管理服务平台建设工作</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全面摸清各区（新城）需求与供给潜力，</w:t>
      </w:r>
      <w:r>
        <w:rPr>
          <w:color w:val="000000" w:themeColor="text1"/>
          <w14:textFill>
            <w14:solidFill>
              <w14:schemeClr w14:val="tx1"/>
            </w14:solidFill>
          </w14:textFill>
        </w:rPr>
        <w:t>明确“十四五”</w:t>
      </w:r>
      <w:r>
        <w:rPr>
          <w:rFonts w:hint="eastAsia"/>
          <w:color w:val="000000" w:themeColor="text1"/>
          <w14:textFill>
            <w14:solidFill>
              <w14:schemeClr w14:val="tx1"/>
            </w14:solidFill>
          </w14:textFill>
        </w:rPr>
        <w:t>建设</w:t>
      </w: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任务</w:t>
      </w:r>
      <w:r>
        <w:rPr>
          <w:color w:val="000000" w:themeColor="text1"/>
          <w14:textFill>
            <w14:solidFill>
              <w14:schemeClr w14:val="tx1"/>
            </w14:solidFill>
          </w14:textFill>
        </w:rPr>
        <w:t>。</w:t>
      </w:r>
    </w:p>
    <w:p>
      <w:pPr>
        <w:spacing w:before="120"/>
        <w:ind w:firstLine="643"/>
      </w:pPr>
      <w:r>
        <w:rPr>
          <w:b/>
        </w:rPr>
        <w:t>中期（2022年-2024年</w:t>
      </w:r>
      <w:r>
        <w:rPr>
          <w:rFonts w:hint="eastAsia"/>
          <w:b/>
        </w:rPr>
        <w:t>三年行动计划期间</w:t>
      </w:r>
      <w:r>
        <w:t>），</w:t>
      </w:r>
      <w:r>
        <w:rPr>
          <w:rFonts w:hint="eastAsia"/>
        </w:rPr>
        <w:t>完善保障性租赁住房建设管理各项相关政策，全面启动重点新建改建项目，保障性租赁住房</w:t>
      </w:r>
      <w:r>
        <w:t>供给</w:t>
      </w:r>
      <w:r>
        <w:rPr>
          <w:rFonts w:hint="eastAsia"/>
        </w:rPr>
        <w:t>初显成效，</w:t>
      </w:r>
      <w:r>
        <w:t>初步形成房源合理布局，</w:t>
      </w:r>
      <w:r>
        <w:rPr>
          <w:rFonts w:hint="eastAsia"/>
        </w:rPr>
        <w:t>各区（新城）</w:t>
      </w:r>
      <w:r>
        <w:t>参与保障性租赁住房建设管理的</w:t>
      </w:r>
      <w:r>
        <w:rPr>
          <w:rFonts w:hint="eastAsia"/>
        </w:rPr>
        <w:t>各类主体</w:t>
      </w:r>
      <w:r>
        <w:t>数量初具规模。2022</w:t>
      </w:r>
      <w:r>
        <w:rPr>
          <w:rFonts w:hint="eastAsia"/>
        </w:rPr>
        <w:t>-</w:t>
      </w:r>
      <w:r>
        <w:t>2024年</w:t>
      </w:r>
      <w:r>
        <w:rPr>
          <w:rFonts w:hint="eastAsia"/>
        </w:rPr>
        <w:t>三年行动计划期间</w:t>
      </w:r>
      <w:r>
        <w:t>共筹集保障性租赁住房8164套（间）</w:t>
      </w:r>
      <w:r>
        <w:rPr>
          <w:rFonts w:hint="eastAsia"/>
        </w:rPr>
        <w:t>。</w:t>
      </w:r>
    </w:p>
    <w:p>
      <w:pPr>
        <w:spacing w:before="60" w:beforeLines="0"/>
        <w:ind w:firstLine="643"/>
        <w:rPr>
          <w:color w:val="000000" w:themeColor="text1"/>
          <w14:textFill>
            <w14:solidFill>
              <w14:schemeClr w14:val="tx1"/>
            </w14:solidFill>
          </w14:textFill>
        </w:rPr>
      </w:pPr>
      <w:r>
        <w:rPr>
          <w:b/>
          <w:color w:val="000000" w:themeColor="text1"/>
          <w14:textFill>
            <w14:solidFill>
              <w14:schemeClr w14:val="tx1"/>
            </w14:solidFill>
          </w14:textFill>
        </w:rPr>
        <w:t>后期（</w:t>
      </w:r>
      <w:r>
        <w:rPr>
          <w:b/>
        </w:rPr>
        <w:t>2025年）</w:t>
      </w:r>
      <w:r>
        <w:t>，</w:t>
      </w:r>
      <w:r>
        <w:rPr>
          <w:rFonts w:hint="eastAsia"/>
        </w:rPr>
        <w:t>完成房源建设筹集目标，</w:t>
      </w:r>
      <w:r>
        <w:t>有效缓解住房租赁市场结构性供给不足，带动住房租赁市场健康发展，助力“稳房价”得到有效落实，</w:t>
      </w:r>
      <w:r>
        <w:rPr>
          <w:rFonts w:hint="eastAsia"/>
        </w:rPr>
        <w:t>显著提升市区新市民、青年人居住品质</w:t>
      </w:r>
      <w:r>
        <w:rPr>
          <w:color w:val="000000" w:themeColor="text1"/>
          <w14:textFill>
            <w14:solidFill>
              <w14:schemeClr w14:val="tx1"/>
            </w14:solidFill>
          </w14:textFill>
        </w:rPr>
        <w:t>。</w:t>
      </w:r>
    </w:p>
    <w:p>
      <w:pPr>
        <w:spacing w:before="120"/>
        <w:ind w:firstLine="643"/>
        <w:rPr>
          <w:b/>
          <w:bCs/>
          <w:color w:val="000000" w:themeColor="text1"/>
          <w14:textFill>
            <w14:solidFill>
              <w14:schemeClr w14:val="tx1"/>
            </w14:solidFill>
          </w14:textFill>
        </w:rPr>
      </w:pPr>
      <w:r>
        <w:rPr>
          <w:b/>
          <w:bCs/>
          <w:color w:val="000000" w:themeColor="text1"/>
          <w14:textFill>
            <w14:solidFill>
              <w14:schemeClr w14:val="tx1"/>
            </w14:solidFill>
          </w14:textFill>
        </w:rPr>
        <w:t>6.</w:t>
      </w:r>
      <w:r>
        <w:rPr>
          <w:rFonts w:hint="eastAsia"/>
          <w:b/>
          <w:bCs/>
          <w:color w:val="000000" w:themeColor="text1"/>
          <w14:textFill>
            <w14:solidFill>
              <w14:schemeClr w14:val="tx1"/>
            </w14:solidFill>
          </w14:textFill>
        </w:rPr>
        <w:t>主要指标</w:t>
      </w:r>
    </w:p>
    <w:p>
      <w:pPr>
        <w:spacing w:before="120"/>
        <w:ind w:firstLine="0" w:firstLineChars="0"/>
        <w:jc w:val="center"/>
        <w:rPr>
          <w:b/>
          <w:sz w:val="28"/>
          <w:szCs w:val="36"/>
        </w:rPr>
      </w:pPr>
      <w:r>
        <w:rPr>
          <w:rFonts w:hint="eastAsia"/>
          <w:b/>
          <w:sz w:val="28"/>
          <w:szCs w:val="36"/>
        </w:rPr>
        <w:t>表</w:t>
      </w:r>
      <w:r>
        <w:rPr>
          <w:b/>
          <w:sz w:val="28"/>
          <w:szCs w:val="36"/>
        </w:rPr>
        <w:t xml:space="preserve">2 </w:t>
      </w:r>
      <w:r>
        <w:rPr>
          <w:rFonts w:hint="eastAsia"/>
          <w:b/>
          <w:sz w:val="28"/>
          <w:szCs w:val="36"/>
        </w:rPr>
        <w:t>保障性租赁住房发展指标体系</w:t>
      </w:r>
    </w:p>
    <w:tbl>
      <w:tblPr>
        <w:tblStyle w:val="24"/>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384"/>
        <w:gridCol w:w="989"/>
        <w:gridCol w:w="1279"/>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704" w:type="dxa"/>
          </w:tcPr>
          <w:p>
            <w:pPr>
              <w:pStyle w:val="42"/>
              <w:spacing w:line="240" w:lineRule="auto"/>
              <w:rPr>
                <w:rFonts w:ascii="仿宋_GB2312" w:hAnsi="仿宋" w:eastAsia="仿宋_GB2312"/>
                <w:b/>
                <w:sz w:val="24"/>
                <w:szCs w:val="32"/>
              </w:rPr>
            </w:pPr>
            <w:r>
              <w:rPr>
                <w:rFonts w:hint="eastAsia" w:ascii="仿宋_GB2312" w:hAnsi="仿宋" w:eastAsia="仿宋_GB2312"/>
                <w:b/>
                <w:sz w:val="24"/>
                <w:szCs w:val="32"/>
              </w:rPr>
              <w:t>指标类型</w:t>
            </w:r>
          </w:p>
        </w:tc>
        <w:tc>
          <w:tcPr>
            <w:tcW w:w="5384" w:type="dxa"/>
          </w:tcPr>
          <w:p>
            <w:pPr>
              <w:pStyle w:val="42"/>
              <w:spacing w:line="240" w:lineRule="auto"/>
              <w:rPr>
                <w:rFonts w:ascii="仿宋_GB2312" w:hAnsi="仿宋" w:eastAsia="仿宋_GB2312"/>
                <w:b/>
                <w:sz w:val="24"/>
                <w:szCs w:val="32"/>
              </w:rPr>
            </w:pPr>
            <w:r>
              <w:rPr>
                <w:rFonts w:hint="eastAsia" w:ascii="仿宋_GB2312" w:hAnsi="仿宋" w:eastAsia="仿宋_GB2312"/>
                <w:b/>
                <w:sz w:val="24"/>
                <w:szCs w:val="32"/>
              </w:rPr>
              <w:t>指标名称</w:t>
            </w:r>
          </w:p>
        </w:tc>
        <w:tc>
          <w:tcPr>
            <w:tcW w:w="989" w:type="dxa"/>
          </w:tcPr>
          <w:p>
            <w:pPr>
              <w:pStyle w:val="42"/>
              <w:spacing w:line="240" w:lineRule="auto"/>
              <w:rPr>
                <w:rFonts w:ascii="仿宋_GB2312" w:hAnsi="仿宋" w:eastAsia="仿宋_GB2312"/>
                <w:b/>
                <w:sz w:val="24"/>
                <w:szCs w:val="32"/>
              </w:rPr>
            </w:pPr>
            <w:r>
              <w:rPr>
                <w:rFonts w:hint="eastAsia" w:ascii="仿宋_GB2312" w:hAnsi="仿宋" w:eastAsia="仿宋_GB2312"/>
                <w:b/>
                <w:sz w:val="24"/>
                <w:szCs w:val="32"/>
              </w:rPr>
              <w:t>单位</w:t>
            </w:r>
          </w:p>
        </w:tc>
        <w:tc>
          <w:tcPr>
            <w:tcW w:w="1279" w:type="dxa"/>
          </w:tcPr>
          <w:p>
            <w:pPr>
              <w:pStyle w:val="42"/>
              <w:spacing w:line="240" w:lineRule="auto"/>
              <w:rPr>
                <w:rFonts w:ascii="仿宋_GB2312" w:hAnsi="仿宋" w:eastAsia="仿宋_GB2312"/>
                <w:b/>
                <w:sz w:val="24"/>
                <w:szCs w:val="32"/>
              </w:rPr>
            </w:pPr>
            <w:r>
              <w:rPr>
                <w:rFonts w:hint="eastAsia" w:ascii="仿宋_GB2312" w:hAnsi="仿宋" w:eastAsia="仿宋_GB2312"/>
                <w:b/>
                <w:sz w:val="24"/>
                <w:szCs w:val="32"/>
              </w:rPr>
              <w:t>目标值</w:t>
            </w:r>
          </w:p>
        </w:tc>
        <w:tc>
          <w:tcPr>
            <w:tcW w:w="833" w:type="dxa"/>
          </w:tcPr>
          <w:p>
            <w:pPr>
              <w:pStyle w:val="42"/>
              <w:spacing w:line="240" w:lineRule="auto"/>
              <w:rPr>
                <w:rFonts w:ascii="仿宋_GB2312" w:hAnsi="仿宋" w:eastAsia="仿宋_GB2312"/>
                <w:b/>
                <w:sz w:val="24"/>
                <w:szCs w:val="32"/>
              </w:rPr>
            </w:pPr>
            <w:r>
              <w:rPr>
                <w:rFonts w:hint="eastAsia" w:ascii="仿宋_GB2312" w:hAnsi="仿宋" w:eastAsia="仿宋_GB2312"/>
                <w:b/>
                <w:sz w:val="24"/>
                <w:szCs w:val="32"/>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restart"/>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发展规模</w:t>
            </w:r>
          </w:p>
        </w:tc>
        <w:tc>
          <w:tcPr>
            <w:tcW w:w="538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新增保障性租赁住房数量</w:t>
            </w:r>
          </w:p>
        </w:tc>
        <w:tc>
          <w:tcPr>
            <w:tcW w:w="98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套</w:t>
            </w:r>
            <w:r>
              <w:rPr>
                <w:rFonts w:ascii="仿宋_GB2312" w:hAnsi="仿宋" w:eastAsia="仿宋_GB2312"/>
                <w:sz w:val="24"/>
                <w:szCs w:val="32"/>
              </w:rPr>
              <w:t>(间)</w:t>
            </w:r>
          </w:p>
        </w:tc>
        <w:tc>
          <w:tcPr>
            <w:tcW w:w="1279" w:type="dxa"/>
          </w:tcPr>
          <w:p>
            <w:pPr>
              <w:pStyle w:val="42"/>
              <w:spacing w:line="240" w:lineRule="auto"/>
              <w:rPr>
                <w:rFonts w:ascii="仿宋_GB2312" w:hAnsi="仿宋" w:eastAsia="仿宋_GB2312"/>
                <w:sz w:val="24"/>
                <w:szCs w:val="32"/>
              </w:rPr>
            </w:pPr>
            <w:r>
              <w:rPr>
                <w:rFonts w:ascii="仿宋_GB2312" w:hAnsi="仿宋" w:eastAsia="仿宋_GB2312"/>
                <w:sz w:val="24"/>
                <w:szCs w:val="32"/>
              </w:rPr>
              <w:t>10000</w:t>
            </w:r>
          </w:p>
        </w:tc>
        <w:tc>
          <w:tcPr>
            <w:tcW w:w="833"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Pr>
          <w:p>
            <w:pPr>
              <w:pStyle w:val="42"/>
              <w:spacing w:line="240" w:lineRule="auto"/>
              <w:rPr>
                <w:rFonts w:ascii="仿宋_GB2312" w:hAnsi="仿宋" w:eastAsia="仿宋_GB2312"/>
                <w:sz w:val="24"/>
                <w:szCs w:val="32"/>
              </w:rPr>
            </w:pPr>
          </w:p>
        </w:tc>
        <w:tc>
          <w:tcPr>
            <w:tcW w:w="538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柯城城区新增保障性租赁住房数量</w:t>
            </w:r>
            <w:r>
              <w:rPr>
                <w:rFonts w:ascii="仿宋_GB2312" w:hAnsi="仿宋" w:eastAsia="仿宋_GB2312"/>
                <w:sz w:val="24"/>
                <w:szCs w:val="32"/>
                <w:vertAlign w:val="superscript"/>
              </w:rPr>
              <w:t>*</w:t>
            </w:r>
          </w:p>
        </w:tc>
        <w:tc>
          <w:tcPr>
            <w:tcW w:w="98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套</w:t>
            </w:r>
            <w:r>
              <w:rPr>
                <w:rFonts w:ascii="仿宋_GB2312" w:hAnsi="仿宋" w:eastAsia="仿宋_GB2312"/>
                <w:sz w:val="24"/>
                <w:szCs w:val="32"/>
              </w:rPr>
              <w:t>(间)</w:t>
            </w:r>
          </w:p>
        </w:tc>
        <w:tc>
          <w:tcPr>
            <w:tcW w:w="1279" w:type="dxa"/>
          </w:tcPr>
          <w:p>
            <w:pPr>
              <w:pStyle w:val="42"/>
              <w:spacing w:line="240" w:lineRule="auto"/>
              <w:rPr>
                <w:rFonts w:ascii="仿宋_GB2312" w:hAnsi="仿宋" w:eastAsia="仿宋_GB2312"/>
                <w:sz w:val="24"/>
                <w:szCs w:val="32"/>
              </w:rPr>
            </w:pPr>
            <w:r>
              <w:rPr>
                <w:rFonts w:ascii="仿宋_GB2312" w:hAnsi="仿宋" w:eastAsia="仿宋_GB2312"/>
                <w:sz w:val="24"/>
                <w:szCs w:val="32"/>
              </w:rPr>
              <w:t>5100</w:t>
            </w:r>
          </w:p>
        </w:tc>
        <w:tc>
          <w:tcPr>
            <w:tcW w:w="833"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Pr>
          <w:p>
            <w:pPr>
              <w:pStyle w:val="42"/>
              <w:spacing w:line="240" w:lineRule="auto"/>
              <w:rPr>
                <w:rFonts w:ascii="仿宋_GB2312" w:hAnsi="仿宋" w:eastAsia="仿宋_GB2312"/>
                <w:sz w:val="24"/>
                <w:szCs w:val="32"/>
              </w:rPr>
            </w:pPr>
          </w:p>
        </w:tc>
        <w:tc>
          <w:tcPr>
            <w:tcW w:w="538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衢江城区新增保障性租赁住房数量</w:t>
            </w:r>
          </w:p>
        </w:tc>
        <w:tc>
          <w:tcPr>
            <w:tcW w:w="98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套</w:t>
            </w:r>
            <w:r>
              <w:rPr>
                <w:rFonts w:ascii="仿宋_GB2312" w:hAnsi="仿宋" w:eastAsia="仿宋_GB2312"/>
                <w:sz w:val="24"/>
                <w:szCs w:val="32"/>
              </w:rPr>
              <w:t>(间)</w:t>
            </w:r>
          </w:p>
        </w:tc>
        <w:tc>
          <w:tcPr>
            <w:tcW w:w="1279" w:type="dxa"/>
          </w:tcPr>
          <w:p>
            <w:pPr>
              <w:pStyle w:val="42"/>
              <w:spacing w:line="240" w:lineRule="auto"/>
              <w:rPr>
                <w:rFonts w:ascii="仿宋_GB2312" w:hAnsi="仿宋" w:eastAsia="仿宋_GB2312"/>
                <w:sz w:val="24"/>
                <w:szCs w:val="32"/>
              </w:rPr>
            </w:pPr>
            <w:r>
              <w:rPr>
                <w:rFonts w:ascii="仿宋_GB2312" w:hAnsi="仿宋" w:eastAsia="仿宋_GB2312"/>
                <w:sz w:val="24"/>
                <w:szCs w:val="32"/>
              </w:rPr>
              <w:t>1100</w:t>
            </w:r>
          </w:p>
        </w:tc>
        <w:tc>
          <w:tcPr>
            <w:tcW w:w="833"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Pr>
          <w:p>
            <w:pPr>
              <w:pStyle w:val="42"/>
              <w:spacing w:line="240" w:lineRule="auto"/>
              <w:rPr>
                <w:rFonts w:ascii="仿宋_GB2312" w:hAnsi="仿宋" w:eastAsia="仿宋_GB2312"/>
                <w:sz w:val="24"/>
                <w:szCs w:val="32"/>
              </w:rPr>
            </w:pPr>
          </w:p>
        </w:tc>
        <w:tc>
          <w:tcPr>
            <w:tcW w:w="538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智慧新城新增保障性租赁住房数量</w:t>
            </w:r>
          </w:p>
        </w:tc>
        <w:tc>
          <w:tcPr>
            <w:tcW w:w="98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套</w:t>
            </w:r>
            <w:r>
              <w:rPr>
                <w:rFonts w:ascii="仿宋_GB2312" w:hAnsi="仿宋" w:eastAsia="仿宋_GB2312"/>
                <w:sz w:val="24"/>
                <w:szCs w:val="32"/>
              </w:rPr>
              <w:t>(间)</w:t>
            </w:r>
          </w:p>
        </w:tc>
        <w:tc>
          <w:tcPr>
            <w:tcW w:w="1279" w:type="dxa"/>
          </w:tcPr>
          <w:p>
            <w:pPr>
              <w:pStyle w:val="42"/>
              <w:spacing w:line="240" w:lineRule="auto"/>
              <w:rPr>
                <w:rFonts w:ascii="仿宋_GB2312" w:hAnsi="仿宋" w:eastAsia="仿宋_GB2312"/>
                <w:sz w:val="24"/>
                <w:szCs w:val="32"/>
              </w:rPr>
            </w:pPr>
            <w:r>
              <w:rPr>
                <w:rFonts w:ascii="仿宋_GB2312" w:hAnsi="仿宋" w:eastAsia="仿宋_GB2312"/>
                <w:sz w:val="24"/>
                <w:szCs w:val="32"/>
              </w:rPr>
              <w:t>2100</w:t>
            </w:r>
          </w:p>
        </w:tc>
        <w:tc>
          <w:tcPr>
            <w:tcW w:w="833"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Pr>
          <w:p>
            <w:pPr>
              <w:pStyle w:val="42"/>
              <w:spacing w:line="240" w:lineRule="auto"/>
              <w:rPr>
                <w:rFonts w:ascii="仿宋_GB2312" w:hAnsi="仿宋" w:eastAsia="仿宋_GB2312"/>
                <w:sz w:val="24"/>
                <w:szCs w:val="32"/>
              </w:rPr>
            </w:pPr>
          </w:p>
        </w:tc>
        <w:tc>
          <w:tcPr>
            <w:tcW w:w="538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智造新城新增保障性租赁住房数量</w:t>
            </w:r>
          </w:p>
        </w:tc>
        <w:tc>
          <w:tcPr>
            <w:tcW w:w="98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套</w:t>
            </w:r>
            <w:r>
              <w:rPr>
                <w:rFonts w:ascii="仿宋_GB2312" w:hAnsi="仿宋" w:eastAsia="仿宋_GB2312"/>
                <w:sz w:val="24"/>
                <w:szCs w:val="32"/>
              </w:rPr>
              <w:t>(间)</w:t>
            </w:r>
          </w:p>
        </w:tc>
        <w:tc>
          <w:tcPr>
            <w:tcW w:w="1279" w:type="dxa"/>
          </w:tcPr>
          <w:p>
            <w:pPr>
              <w:pStyle w:val="42"/>
              <w:spacing w:line="240" w:lineRule="auto"/>
              <w:rPr>
                <w:rFonts w:ascii="仿宋_GB2312" w:hAnsi="仿宋" w:eastAsia="仿宋_GB2312"/>
                <w:sz w:val="24"/>
                <w:szCs w:val="32"/>
              </w:rPr>
            </w:pPr>
            <w:r>
              <w:rPr>
                <w:rFonts w:ascii="仿宋_GB2312" w:hAnsi="仿宋" w:eastAsia="仿宋_GB2312"/>
                <w:sz w:val="24"/>
                <w:szCs w:val="32"/>
              </w:rPr>
              <w:t>1700</w:t>
            </w:r>
          </w:p>
        </w:tc>
        <w:tc>
          <w:tcPr>
            <w:tcW w:w="833"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restart"/>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供给渠道</w:t>
            </w:r>
          </w:p>
        </w:tc>
        <w:tc>
          <w:tcPr>
            <w:tcW w:w="538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集体经营性建设用地建设保障性租赁住房数量</w:t>
            </w:r>
          </w:p>
        </w:tc>
        <w:tc>
          <w:tcPr>
            <w:tcW w:w="98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套</w:t>
            </w:r>
            <w:r>
              <w:rPr>
                <w:rFonts w:ascii="仿宋_GB2312" w:hAnsi="仿宋" w:eastAsia="仿宋_GB2312"/>
                <w:sz w:val="24"/>
                <w:szCs w:val="32"/>
              </w:rPr>
              <w:t>(间)</w:t>
            </w:r>
          </w:p>
        </w:tc>
        <w:tc>
          <w:tcPr>
            <w:tcW w:w="1279" w:type="dxa"/>
          </w:tcPr>
          <w:p>
            <w:pPr>
              <w:pStyle w:val="42"/>
              <w:spacing w:line="240" w:lineRule="auto"/>
              <w:rPr>
                <w:rFonts w:ascii="仿宋_GB2312" w:hAnsi="仿宋" w:eastAsia="仿宋_GB2312"/>
                <w:sz w:val="24"/>
                <w:szCs w:val="32"/>
              </w:rPr>
            </w:pPr>
            <w:r>
              <w:rPr>
                <w:rFonts w:ascii="仿宋_GB2312" w:hAnsi="仿宋" w:eastAsia="仿宋_GB2312"/>
                <w:sz w:val="24"/>
                <w:szCs w:val="32"/>
              </w:rPr>
              <w:t>400</w:t>
            </w:r>
          </w:p>
        </w:tc>
        <w:tc>
          <w:tcPr>
            <w:tcW w:w="833"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Pr>
          <w:p>
            <w:pPr>
              <w:pStyle w:val="42"/>
              <w:spacing w:line="240" w:lineRule="auto"/>
              <w:rPr>
                <w:rFonts w:ascii="仿宋_GB2312" w:hAnsi="仿宋" w:eastAsia="仿宋_GB2312"/>
                <w:sz w:val="24"/>
                <w:szCs w:val="32"/>
              </w:rPr>
            </w:pPr>
          </w:p>
        </w:tc>
        <w:tc>
          <w:tcPr>
            <w:tcW w:w="538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产业园区配套用地建设保障性租赁住房数量</w:t>
            </w:r>
          </w:p>
        </w:tc>
        <w:tc>
          <w:tcPr>
            <w:tcW w:w="98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间</w:t>
            </w:r>
          </w:p>
        </w:tc>
        <w:tc>
          <w:tcPr>
            <w:tcW w:w="1279" w:type="dxa"/>
          </w:tcPr>
          <w:p>
            <w:pPr>
              <w:pStyle w:val="42"/>
              <w:spacing w:line="240" w:lineRule="auto"/>
              <w:rPr>
                <w:rFonts w:ascii="仿宋_GB2312" w:hAnsi="仿宋" w:eastAsia="仿宋_GB2312"/>
                <w:sz w:val="24"/>
                <w:szCs w:val="32"/>
              </w:rPr>
            </w:pPr>
            <w:r>
              <w:rPr>
                <w:rFonts w:ascii="仿宋_GB2312" w:hAnsi="仿宋" w:eastAsia="仿宋_GB2312"/>
                <w:sz w:val="24"/>
                <w:szCs w:val="32"/>
              </w:rPr>
              <w:t>339</w:t>
            </w:r>
          </w:p>
        </w:tc>
        <w:tc>
          <w:tcPr>
            <w:tcW w:w="833"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Pr>
          <w:p>
            <w:pPr>
              <w:pStyle w:val="42"/>
              <w:spacing w:line="240" w:lineRule="auto"/>
              <w:rPr>
                <w:rFonts w:ascii="仿宋_GB2312" w:hAnsi="仿宋" w:eastAsia="仿宋_GB2312"/>
                <w:sz w:val="24"/>
                <w:szCs w:val="32"/>
              </w:rPr>
            </w:pPr>
          </w:p>
        </w:tc>
        <w:tc>
          <w:tcPr>
            <w:tcW w:w="538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存量闲置房屋改建保障性租赁住房数量</w:t>
            </w:r>
          </w:p>
        </w:tc>
        <w:tc>
          <w:tcPr>
            <w:tcW w:w="98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间</w:t>
            </w:r>
          </w:p>
        </w:tc>
        <w:tc>
          <w:tcPr>
            <w:tcW w:w="1279" w:type="dxa"/>
          </w:tcPr>
          <w:p>
            <w:pPr>
              <w:pStyle w:val="42"/>
              <w:spacing w:line="240" w:lineRule="auto"/>
              <w:rPr>
                <w:rFonts w:ascii="仿宋_GB2312" w:hAnsi="仿宋" w:eastAsia="仿宋_GB2312"/>
                <w:sz w:val="24"/>
                <w:szCs w:val="32"/>
              </w:rPr>
            </w:pPr>
            <w:r>
              <w:rPr>
                <w:rFonts w:ascii="仿宋_GB2312" w:hAnsi="仿宋" w:eastAsia="仿宋_GB2312"/>
                <w:sz w:val="24"/>
                <w:szCs w:val="32"/>
              </w:rPr>
              <w:t>978</w:t>
            </w:r>
          </w:p>
        </w:tc>
        <w:tc>
          <w:tcPr>
            <w:tcW w:w="833"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Pr>
          <w:p>
            <w:pPr>
              <w:pStyle w:val="42"/>
              <w:spacing w:line="240" w:lineRule="auto"/>
              <w:rPr>
                <w:rFonts w:ascii="仿宋_GB2312" w:hAnsi="仿宋" w:eastAsia="仿宋_GB2312"/>
                <w:sz w:val="24"/>
                <w:szCs w:val="32"/>
              </w:rPr>
            </w:pPr>
          </w:p>
        </w:tc>
        <w:tc>
          <w:tcPr>
            <w:tcW w:w="538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新供应国有建设用地建设保障性租赁住房数量</w:t>
            </w:r>
            <w:r>
              <w:rPr>
                <w:rFonts w:hint="eastAsia" w:ascii="仿宋_GB2312" w:hAnsi="仿宋" w:eastAsia="仿宋_GB2312"/>
                <w:sz w:val="24"/>
                <w:szCs w:val="32"/>
                <w:vertAlign w:val="superscript"/>
              </w:rPr>
              <w:t>*</w:t>
            </w:r>
            <w:r>
              <w:rPr>
                <w:rFonts w:ascii="仿宋_GB2312" w:hAnsi="仿宋" w:eastAsia="仿宋_GB2312"/>
                <w:sz w:val="24"/>
                <w:szCs w:val="32"/>
                <w:vertAlign w:val="superscript"/>
              </w:rPr>
              <w:t>*</w:t>
            </w:r>
          </w:p>
        </w:tc>
        <w:tc>
          <w:tcPr>
            <w:tcW w:w="98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套</w:t>
            </w:r>
            <w:r>
              <w:rPr>
                <w:rFonts w:ascii="仿宋_GB2312" w:hAnsi="仿宋" w:eastAsia="仿宋_GB2312"/>
                <w:sz w:val="24"/>
                <w:szCs w:val="32"/>
              </w:rPr>
              <w:t>(间)</w:t>
            </w:r>
          </w:p>
        </w:tc>
        <w:tc>
          <w:tcPr>
            <w:tcW w:w="1279" w:type="dxa"/>
          </w:tcPr>
          <w:p>
            <w:pPr>
              <w:pStyle w:val="42"/>
              <w:spacing w:line="240" w:lineRule="auto"/>
              <w:rPr>
                <w:rFonts w:ascii="仿宋_GB2312" w:hAnsi="仿宋" w:eastAsia="仿宋_GB2312"/>
                <w:sz w:val="24"/>
                <w:szCs w:val="32"/>
              </w:rPr>
            </w:pPr>
            <w:r>
              <w:rPr>
                <w:rFonts w:ascii="仿宋_GB2312" w:hAnsi="仿宋" w:eastAsia="仿宋_GB2312"/>
                <w:sz w:val="24"/>
                <w:szCs w:val="32"/>
              </w:rPr>
              <w:t>8283</w:t>
            </w:r>
          </w:p>
        </w:tc>
        <w:tc>
          <w:tcPr>
            <w:tcW w:w="833"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租金管控</w:t>
            </w:r>
          </w:p>
        </w:tc>
        <w:tc>
          <w:tcPr>
            <w:tcW w:w="538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住宅型保障性租赁住房租金优惠幅度（与同地段同品质市场租赁住房租金相比较）</w:t>
            </w:r>
          </w:p>
        </w:tc>
        <w:tc>
          <w:tcPr>
            <w:tcW w:w="989" w:type="dxa"/>
          </w:tcPr>
          <w:p>
            <w:pPr>
              <w:pStyle w:val="42"/>
              <w:spacing w:line="240" w:lineRule="auto"/>
              <w:rPr>
                <w:rFonts w:ascii="仿宋_GB2312" w:hAnsi="仿宋" w:eastAsia="仿宋_GB2312"/>
                <w:sz w:val="24"/>
                <w:szCs w:val="32"/>
              </w:rPr>
            </w:pPr>
            <w:r>
              <w:rPr>
                <w:rFonts w:ascii="仿宋_GB2312" w:hAnsi="仿宋" w:eastAsia="仿宋_GB2312"/>
                <w:sz w:val="24"/>
                <w:szCs w:val="32"/>
              </w:rPr>
              <w:t>%</w:t>
            </w:r>
          </w:p>
        </w:tc>
        <w:tc>
          <w:tcPr>
            <w:tcW w:w="127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w:t>
            </w:r>
            <w:r>
              <w:rPr>
                <w:rFonts w:ascii="仿宋_GB2312" w:hAnsi="仿宋" w:eastAsia="仿宋_GB2312"/>
                <w:sz w:val="24"/>
                <w:szCs w:val="32"/>
              </w:rPr>
              <w:t>15%</w:t>
            </w:r>
          </w:p>
        </w:tc>
        <w:tc>
          <w:tcPr>
            <w:tcW w:w="833"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居住品质</w:t>
            </w:r>
          </w:p>
        </w:tc>
        <w:tc>
          <w:tcPr>
            <w:tcW w:w="538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新建住宅型保障性租赁住房社区公共服务设施</w:t>
            </w:r>
          </w:p>
          <w:p>
            <w:pPr>
              <w:pStyle w:val="42"/>
              <w:spacing w:line="240" w:lineRule="auto"/>
              <w:rPr>
                <w:rFonts w:ascii="仿宋_GB2312" w:hAnsi="仿宋" w:eastAsia="仿宋_GB2312"/>
                <w:sz w:val="24"/>
                <w:szCs w:val="32"/>
              </w:rPr>
            </w:pPr>
            <w:r>
              <w:rPr>
                <w:rFonts w:hint="eastAsia" w:ascii="仿宋_GB2312" w:hAnsi="仿宋" w:eastAsia="仿宋_GB2312"/>
                <w:sz w:val="24"/>
                <w:szCs w:val="32"/>
              </w:rPr>
              <w:t>步行</w:t>
            </w:r>
            <w:r>
              <w:rPr>
                <w:rFonts w:ascii="仿宋_GB2312" w:hAnsi="仿宋" w:eastAsia="仿宋_GB2312"/>
                <w:sz w:val="24"/>
                <w:szCs w:val="32"/>
              </w:rPr>
              <w:t>15</w:t>
            </w:r>
            <w:r>
              <w:rPr>
                <w:rFonts w:hint="eastAsia" w:ascii="仿宋_GB2312" w:hAnsi="仿宋" w:eastAsia="仿宋_GB2312"/>
                <w:sz w:val="24"/>
                <w:szCs w:val="32"/>
              </w:rPr>
              <w:t>分钟覆盖率</w:t>
            </w:r>
          </w:p>
        </w:tc>
        <w:tc>
          <w:tcPr>
            <w:tcW w:w="989" w:type="dxa"/>
          </w:tcPr>
          <w:p>
            <w:pPr>
              <w:pStyle w:val="42"/>
              <w:spacing w:line="240" w:lineRule="auto"/>
              <w:rPr>
                <w:rFonts w:ascii="仿宋_GB2312" w:hAnsi="仿宋" w:eastAsia="仿宋_GB2312"/>
                <w:sz w:val="24"/>
                <w:szCs w:val="32"/>
              </w:rPr>
            </w:pPr>
            <w:r>
              <w:rPr>
                <w:rFonts w:ascii="仿宋_GB2312" w:hAnsi="仿宋" w:eastAsia="仿宋_GB2312"/>
                <w:sz w:val="24"/>
                <w:szCs w:val="32"/>
              </w:rPr>
              <w:t>%</w:t>
            </w:r>
          </w:p>
        </w:tc>
        <w:tc>
          <w:tcPr>
            <w:tcW w:w="127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w:t>
            </w:r>
            <w:r>
              <w:rPr>
                <w:rFonts w:ascii="仿宋_GB2312" w:hAnsi="仿宋" w:eastAsia="仿宋_GB2312"/>
                <w:sz w:val="24"/>
                <w:szCs w:val="32"/>
              </w:rPr>
              <w:t>90%</w:t>
            </w:r>
          </w:p>
        </w:tc>
        <w:tc>
          <w:tcPr>
            <w:tcW w:w="833"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restart"/>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机制建设</w:t>
            </w:r>
          </w:p>
        </w:tc>
        <w:tc>
          <w:tcPr>
            <w:tcW w:w="538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制定保障性租赁住房相关政策制度</w:t>
            </w:r>
          </w:p>
        </w:tc>
        <w:tc>
          <w:tcPr>
            <w:tcW w:w="98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项</w:t>
            </w:r>
          </w:p>
        </w:tc>
        <w:tc>
          <w:tcPr>
            <w:tcW w:w="127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w:t>
            </w:r>
            <w:r>
              <w:rPr>
                <w:rFonts w:ascii="仿宋_GB2312" w:hAnsi="仿宋" w:eastAsia="仿宋_GB2312"/>
                <w:sz w:val="24"/>
                <w:szCs w:val="32"/>
              </w:rPr>
              <w:t>2</w:t>
            </w:r>
          </w:p>
        </w:tc>
        <w:tc>
          <w:tcPr>
            <w:tcW w:w="833"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Pr>
          <w:p>
            <w:pPr>
              <w:pStyle w:val="42"/>
              <w:spacing w:line="240" w:lineRule="auto"/>
              <w:rPr>
                <w:rFonts w:ascii="仿宋_GB2312" w:hAnsi="仿宋" w:eastAsia="仿宋_GB2312"/>
                <w:sz w:val="24"/>
                <w:szCs w:val="32"/>
              </w:rPr>
            </w:pPr>
          </w:p>
        </w:tc>
        <w:tc>
          <w:tcPr>
            <w:tcW w:w="538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建设完成并纳入住房租赁管理服务平台</w:t>
            </w:r>
          </w:p>
        </w:tc>
        <w:tc>
          <w:tcPr>
            <w:tcW w:w="989" w:type="dxa"/>
          </w:tcPr>
          <w:p>
            <w:pPr>
              <w:pStyle w:val="42"/>
              <w:spacing w:line="240" w:lineRule="auto"/>
              <w:rPr>
                <w:rFonts w:ascii="仿宋_GB2312" w:hAnsi="仿宋" w:eastAsia="仿宋_GB2312"/>
                <w:sz w:val="24"/>
                <w:szCs w:val="32"/>
              </w:rPr>
            </w:pPr>
            <w:r>
              <w:rPr>
                <w:rFonts w:ascii="仿宋_GB2312" w:hAnsi="仿宋" w:eastAsia="仿宋_GB2312"/>
                <w:sz w:val="24"/>
                <w:szCs w:val="32"/>
              </w:rPr>
              <w:t>-</w:t>
            </w:r>
          </w:p>
        </w:tc>
        <w:tc>
          <w:tcPr>
            <w:tcW w:w="127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建设完成</w:t>
            </w:r>
          </w:p>
        </w:tc>
        <w:tc>
          <w:tcPr>
            <w:tcW w:w="833"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restart"/>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社会效益</w:t>
            </w:r>
          </w:p>
        </w:tc>
        <w:tc>
          <w:tcPr>
            <w:tcW w:w="538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投入使用的保障性租赁住房入住率</w:t>
            </w:r>
          </w:p>
        </w:tc>
        <w:tc>
          <w:tcPr>
            <w:tcW w:w="989" w:type="dxa"/>
          </w:tcPr>
          <w:p>
            <w:pPr>
              <w:pStyle w:val="42"/>
              <w:spacing w:line="240" w:lineRule="auto"/>
              <w:rPr>
                <w:rFonts w:ascii="仿宋_GB2312" w:hAnsi="仿宋" w:eastAsia="仿宋_GB2312"/>
                <w:sz w:val="24"/>
                <w:szCs w:val="32"/>
              </w:rPr>
            </w:pPr>
            <w:r>
              <w:rPr>
                <w:rFonts w:ascii="仿宋_GB2312" w:hAnsi="仿宋" w:eastAsia="仿宋_GB2312"/>
                <w:sz w:val="24"/>
                <w:szCs w:val="32"/>
              </w:rPr>
              <w:t>%</w:t>
            </w:r>
          </w:p>
        </w:tc>
        <w:tc>
          <w:tcPr>
            <w:tcW w:w="127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w:t>
            </w:r>
            <w:r>
              <w:rPr>
                <w:rFonts w:ascii="仿宋_GB2312" w:hAnsi="仿宋" w:eastAsia="仿宋_GB2312"/>
                <w:sz w:val="24"/>
                <w:szCs w:val="32"/>
              </w:rPr>
              <w:t>85%</w:t>
            </w:r>
          </w:p>
        </w:tc>
        <w:tc>
          <w:tcPr>
            <w:tcW w:w="833"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Pr>
          <w:p>
            <w:pPr>
              <w:pStyle w:val="42"/>
              <w:spacing w:line="240" w:lineRule="auto"/>
              <w:rPr>
                <w:rFonts w:ascii="仿宋_GB2312" w:hAnsi="仿宋" w:eastAsia="仿宋_GB2312"/>
                <w:sz w:val="24"/>
                <w:szCs w:val="32"/>
              </w:rPr>
            </w:pPr>
          </w:p>
        </w:tc>
        <w:tc>
          <w:tcPr>
            <w:tcW w:w="5384"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承租人满意度</w:t>
            </w:r>
          </w:p>
        </w:tc>
        <w:tc>
          <w:tcPr>
            <w:tcW w:w="989" w:type="dxa"/>
          </w:tcPr>
          <w:p>
            <w:pPr>
              <w:pStyle w:val="42"/>
              <w:spacing w:line="240" w:lineRule="auto"/>
              <w:rPr>
                <w:rFonts w:ascii="仿宋_GB2312" w:hAnsi="仿宋" w:eastAsia="仿宋_GB2312"/>
                <w:sz w:val="24"/>
                <w:szCs w:val="32"/>
              </w:rPr>
            </w:pPr>
            <w:r>
              <w:rPr>
                <w:rFonts w:ascii="仿宋_GB2312" w:hAnsi="仿宋" w:eastAsia="仿宋_GB2312"/>
                <w:sz w:val="24"/>
                <w:szCs w:val="32"/>
              </w:rPr>
              <w:t>-</w:t>
            </w:r>
          </w:p>
        </w:tc>
        <w:tc>
          <w:tcPr>
            <w:tcW w:w="1279"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w:t>
            </w:r>
            <w:r>
              <w:rPr>
                <w:rFonts w:ascii="仿宋_GB2312" w:hAnsi="仿宋" w:eastAsia="仿宋_GB2312"/>
                <w:sz w:val="24"/>
                <w:szCs w:val="32"/>
              </w:rPr>
              <w:t>80%</w:t>
            </w:r>
          </w:p>
        </w:tc>
        <w:tc>
          <w:tcPr>
            <w:tcW w:w="833" w:type="dxa"/>
          </w:tcPr>
          <w:p>
            <w:pPr>
              <w:pStyle w:val="42"/>
              <w:spacing w:line="240" w:lineRule="auto"/>
              <w:rPr>
                <w:rFonts w:ascii="仿宋_GB2312" w:hAnsi="仿宋" w:eastAsia="仿宋_GB2312"/>
                <w:sz w:val="24"/>
                <w:szCs w:val="32"/>
              </w:rPr>
            </w:pPr>
            <w:r>
              <w:rPr>
                <w:rFonts w:hint="eastAsia" w:ascii="仿宋_GB2312" w:hAnsi="仿宋" w:eastAsia="仿宋_GB2312"/>
                <w:sz w:val="24"/>
                <w:szCs w:val="32"/>
              </w:rPr>
              <w:t>预期</w:t>
            </w:r>
          </w:p>
        </w:tc>
      </w:tr>
    </w:tbl>
    <w:p>
      <w:pPr>
        <w:pStyle w:val="42"/>
        <w:jc w:val="left"/>
        <w:rPr>
          <w:rFonts w:ascii="仿宋_GB2312" w:hAnsi="仿宋" w:eastAsia="仿宋_GB2312"/>
          <w:sz w:val="24"/>
          <w:szCs w:val="24"/>
        </w:rPr>
      </w:pPr>
      <w:r>
        <w:rPr>
          <w:rFonts w:ascii="仿宋_GB2312" w:hAnsi="仿宋" w:eastAsia="仿宋_GB2312"/>
          <w:sz w:val="24"/>
          <w:szCs w:val="24"/>
        </w:rPr>
        <w:t>注</w:t>
      </w:r>
      <w:r>
        <w:rPr>
          <w:rFonts w:hint="eastAsia" w:ascii="仿宋_GB2312" w:hAnsi="仿宋" w:eastAsia="仿宋_GB2312"/>
          <w:sz w:val="24"/>
          <w:szCs w:val="24"/>
        </w:rPr>
        <w:t>*：统筹考虑智造新城和柯城城区的需求和供给，柯城城区的供给规模包含与智造新城高新园区统筹建设的保障性租赁住房</w:t>
      </w:r>
      <w:r>
        <w:rPr>
          <w:rFonts w:ascii="仿宋_GB2312" w:hAnsi="仿宋" w:eastAsia="仿宋_GB2312"/>
          <w:sz w:val="24"/>
          <w:szCs w:val="24"/>
        </w:rPr>
        <w:t>3000套</w:t>
      </w:r>
      <w:r>
        <w:rPr>
          <w:rFonts w:hint="eastAsia" w:ascii="仿宋_GB2312" w:hAnsi="仿宋" w:eastAsia="仿宋_GB2312"/>
          <w:sz w:val="24"/>
          <w:szCs w:val="24"/>
        </w:rPr>
        <w:t>（间）。</w:t>
      </w:r>
    </w:p>
    <w:p>
      <w:pPr>
        <w:pStyle w:val="42"/>
        <w:jc w:val="both"/>
        <w:rPr>
          <w:rFonts w:ascii="仿宋_GB2312" w:hAnsi="仿宋" w:eastAsia="仿宋_GB2312"/>
          <w:sz w:val="24"/>
          <w:szCs w:val="24"/>
        </w:rPr>
      </w:pPr>
      <w:r>
        <w:rPr>
          <w:rFonts w:hint="eastAsia" w:ascii="仿宋_GB2312" w:hAnsi="仿宋" w:eastAsia="仿宋_GB2312"/>
          <w:sz w:val="24"/>
          <w:szCs w:val="24"/>
        </w:rPr>
        <w:t>*</w:t>
      </w:r>
      <w:r>
        <w:rPr>
          <w:rFonts w:ascii="仿宋_GB2312" w:hAnsi="仿宋" w:eastAsia="仿宋_GB2312"/>
          <w:sz w:val="24"/>
          <w:szCs w:val="24"/>
        </w:rPr>
        <w:t>*:</w:t>
      </w:r>
      <w:r>
        <w:rPr>
          <w:rFonts w:hint="eastAsia" w:ascii="仿宋_GB2312" w:hAnsi="仿宋" w:eastAsia="仿宋_GB2312"/>
          <w:sz w:val="24"/>
          <w:szCs w:val="24"/>
        </w:rPr>
        <w:t>其中包括企业自筹资金建设的员工宿舍</w:t>
      </w:r>
      <w:r>
        <w:rPr>
          <w:rFonts w:ascii="仿宋_GB2312" w:hAnsi="仿宋" w:eastAsia="仿宋_GB2312"/>
          <w:sz w:val="24"/>
          <w:szCs w:val="24"/>
        </w:rPr>
        <w:t>5024</w:t>
      </w:r>
      <w:r>
        <w:rPr>
          <w:rFonts w:hint="eastAsia" w:ascii="仿宋_GB2312" w:hAnsi="仿宋" w:eastAsia="仿宋_GB2312"/>
          <w:sz w:val="24"/>
          <w:szCs w:val="24"/>
        </w:rPr>
        <w:t>套（间），市政府谋划建设的人才公寓2</w:t>
      </w:r>
      <w:r>
        <w:rPr>
          <w:rFonts w:ascii="仿宋_GB2312" w:hAnsi="仿宋" w:eastAsia="仿宋_GB2312"/>
          <w:sz w:val="24"/>
          <w:szCs w:val="24"/>
        </w:rPr>
        <w:t>000</w:t>
      </w:r>
      <w:r>
        <w:rPr>
          <w:rFonts w:hint="eastAsia" w:ascii="仿宋_GB2312" w:hAnsi="仿宋" w:eastAsia="仿宋_GB2312"/>
          <w:sz w:val="24"/>
          <w:szCs w:val="24"/>
        </w:rPr>
        <w:t>套（间）以上。</w:t>
      </w:r>
    </w:p>
    <w:p>
      <w:pPr>
        <w:pStyle w:val="3"/>
        <w:spacing w:before="120"/>
        <w:ind w:firstLine="0" w:firstLineChars="0"/>
      </w:pPr>
      <w:bookmarkStart w:id="81" w:name="_Toc101686469"/>
      <w:r>
        <w:rPr>
          <w:rFonts w:hint="eastAsia"/>
        </w:rPr>
        <w:t>四、主要任务</w:t>
      </w:r>
      <w:bookmarkEnd w:id="81"/>
    </w:p>
    <w:p>
      <w:pPr>
        <w:pStyle w:val="3"/>
        <w:spacing w:before="120"/>
      </w:pPr>
      <w:bookmarkStart w:id="82" w:name="_Toc101686470"/>
      <w:r>
        <w:rPr>
          <w:rFonts w:hint="eastAsia"/>
        </w:rPr>
        <w:t>（一</w:t>
      </w:r>
      <w:r>
        <w:t>）建立健全保障性租赁住房制度</w:t>
      </w:r>
      <w:bookmarkEnd w:id="82"/>
    </w:p>
    <w:p>
      <w:pPr>
        <w:spacing w:before="120"/>
        <w:ind w:firstLine="643"/>
      </w:pPr>
      <w:r>
        <w:rPr>
          <w:rFonts w:hint="eastAsia"/>
          <w:b/>
          <w:bCs/>
        </w:rPr>
        <w:t>加快构建以公租房和保障性租赁住房为主体的住房保障体系。</w:t>
      </w:r>
      <w:r>
        <w:rPr>
          <w:rFonts w:hint="eastAsia"/>
        </w:rPr>
        <w:t>公租房面向城镇中低收入住房困难家庭。保障性租赁住房主要解决新市民、青年人等群体的住房困难问题，逐步扩大住房保障覆盖范围，实现保障覆盖水平与社会经济发展阶段和人民实际需要相适应。</w:t>
      </w:r>
    </w:p>
    <w:p>
      <w:pPr>
        <w:spacing w:before="120"/>
        <w:ind w:firstLine="643"/>
      </w:pPr>
      <w:r>
        <w:rPr>
          <w:rFonts w:hint="eastAsia"/>
          <w:b/>
          <w:bCs/>
        </w:rPr>
        <w:t>制定合理的保障性租赁住房面积与租金标准。</w:t>
      </w:r>
      <w:r>
        <w:rPr>
          <w:rFonts w:hint="eastAsia"/>
        </w:rPr>
        <w:t>新开工的保障性租赁住房，以建筑面积不超过</w:t>
      </w:r>
      <w:r>
        <w:t>70平方米的小户型为主；已经开工或通过现有住房转化的，可以适当放宽面积标准。</w:t>
      </w:r>
      <w:r>
        <w:rPr>
          <w:rFonts w:hint="eastAsia"/>
        </w:rPr>
        <w:t>保障性租赁住房租金接受政府指导，租金低于同地段同品质市场租赁住房租金，其中住宅型</w:t>
      </w:r>
      <w:r>
        <w:t>保障性租赁住房的租金</w:t>
      </w:r>
      <w:r>
        <w:rPr>
          <w:rFonts w:hint="eastAsia"/>
        </w:rPr>
        <w:t>一般不高于</w:t>
      </w:r>
      <w:r>
        <w:t>同地段同品质市场租赁住房租金</w:t>
      </w:r>
      <w:r>
        <w:rPr>
          <w:rFonts w:hint="eastAsia"/>
        </w:rPr>
        <w:t>的</w:t>
      </w:r>
      <w:r>
        <w:t>85%。</w:t>
      </w:r>
      <w:r>
        <w:rPr>
          <w:rFonts w:hint="eastAsia"/>
        </w:rPr>
        <w:t>具体由运营单位委托第三方专业机构定期评估确定，或依据各区（新城）政府（管委会）发布的参考价格确定。</w:t>
      </w:r>
    </w:p>
    <w:p>
      <w:pPr>
        <w:spacing w:before="120"/>
        <w:ind w:firstLine="643"/>
      </w:pPr>
      <w:r>
        <w:rPr>
          <w:rFonts w:hint="eastAsia"/>
          <w:b/>
          <w:bCs/>
        </w:rPr>
        <w:t>增加保障性租赁住房供给。</w:t>
      </w:r>
      <w:r>
        <w:rPr>
          <w:rFonts w:hint="eastAsia"/>
        </w:rPr>
        <w:t>坚持政府支持，充分发挥市场机制作用，引导多主体投资、多渠道供给，增存并重，有效增加保障性租赁住房供给。支持将闲置的政府投资、国有企事业单位投资的公租房、安置房、人才公寓等住房，调整作为保障性租赁住房使用管理。纳入保障性租赁住房管理的人才公寓，按照市人才住房政策面向符合条件的人才租赁；</w:t>
      </w:r>
      <w:r>
        <w:rPr>
          <w:rFonts w:ascii="Times New Roman" w:hAnsi="Times New Roman"/>
          <w:color w:val="000000"/>
        </w:rPr>
        <w:t>政府、村集体</w:t>
      </w:r>
      <w:r>
        <w:rPr>
          <w:rFonts w:ascii="Times New Roman" w:hAnsi="仿宋_GB2312"/>
          <w:kern w:val="2"/>
        </w:rPr>
        <w:t>（农村集体经济组织）、住房租赁（房地产开发）企业</w:t>
      </w:r>
      <w:r>
        <w:rPr>
          <w:rFonts w:ascii="Times New Roman" w:hAnsi="Times New Roman"/>
          <w:color w:val="000000"/>
        </w:rPr>
        <w:t>筹集的保障性</w:t>
      </w:r>
      <w:r>
        <w:rPr>
          <w:rFonts w:ascii="Times New Roman" w:hAnsi="等线"/>
          <w:kern w:val="2"/>
        </w:rPr>
        <w:t>租赁住房</w:t>
      </w:r>
      <w:r>
        <w:rPr>
          <w:rFonts w:ascii="Times New Roman" w:hAnsi="Times New Roman"/>
        </w:rPr>
        <w:t>主要</w:t>
      </w:r>
      <w:r>
        <w:rPr>
          <w:rFonts w:ascii="Times New Roman" w:hAnsi="等线"/>
          <w:kern w:val="2"/>
        </w:rPr>
        <w:t>面向</w:t>
      </w:r>
      <w:r>
        <w:rPr>
          <w:rFonts w:ascii="Times New Roman" w:hAnsi="仿宋_GB2312"/>
          <w:bCs/>
        </w:rPr>
        <w:t>社会公开租赁；</w:t>
      </w:r>
      <w:r>
        <w:rPr>
          <w:rFonts w:ascii="Times New Roman" w:hAnsi="Times New Roman"/>
        </w:rPr>
        <w:t>产业园</w:t>
      </w:r>
      <w:r>
        <w:rPr>
          <w:rFonts w:ascii="Times New Roman" w:hAnsi="Times New Roman"/>
          <w:color w:val="000000"/>
        </w:rPr>
        <w:t>区筹集的保障性租赁住房，主要面向本园区公开租赁；企事业单位自筹资金建设</w:t>
      </w:r>
      <w:r>
        <w:rPr>
          <w:rFonts w:hint="eastAsia" w:ascii="Times New Roman" w:hAnsi="Times New Roman"/>
          <w:color w:val="000000"/>
        </w:rPr>
        <w:t>筹集</w:t>
      </w:r>
      <w:r>
        <w:rPr>
          <w:rFonts w:ascii="Times New Roman" w:hAnsi="Times New Roman"/>
          <w:color w:val="000000"/>
        </w:rPr>
        <w:t>的保障性租赁住房，主要面</w:t>
      </w:r>
      <w:r>
        <w:rPr>
          <w:rFonts w:ascii="Times New Roman" w:hAnsi="Times New Roman"/>
        </w:rPr>
        <w:t>向本单位</w:t>
      </w:r>
      <w:r>
        <w:rPr>
          <w:rFonts w:hint="eastAsia" w:ascii="Times New Roman" w:hAnsi="Times New Roman"/>
        </w:rPr>
        <w:t>的无房</w:t>
      </w:r>
      <w:r>
        <w:rPr>
          <w:rFonts w:ascii="Times New Roman" w:hAnsi="Times New Roman"/>
        </w:rPr>
        <w:t>人员租赁。</w:t>
      </w:r>
    </w:p>
    <w:p>
      <w:pPr>
        <w:spacing w:before="120"/>
        <w:ind w:firstLine="643"/>
      </w:pPr>
      <w:r>
        <w:rPr>
          <w:rFonts w:hint="eastAsia"/>
          <w:b/>
          <w:bCs/>
        </w:rPr>
        <w:t>推行差异化的保障性租赁住房供给模式。</w:t>
      </w:r>
      <w:r>
        <w:rPr>
          <w:rFonts w:hint="eastAsia"/>
        </w:rPr>
        <w:t>根据区域住房需求、供应潜力状况，差异化供应宿舍型、单间型和住宅型保障性租赁住房，逐步满足新市民、青年人群体的多层次租需求，实现供需结构精准匹配。宿舍型保障性租赁住房，建筑面积为</w:t>
      </w:r>
      <w:r>
        <w:t>30-40平方米</w:t>
      </w:r>
      <w:r>
        <w:rPr>
          <w:rFonts w:hint="eastAsia"/>
        </w:rPr>
        <w:t>左右</w:t>
      </w:r>
      <w:r>
        <w:t>，人均租住使用面积不得低于5平方米；</w:t>
      </w:r>
      <w:r>
        <w:rPr>
          <w:rFonts w:hint="eastAsia"/>
        </w:rPr>
        <w:t>单间型保障性租赁住房，建筑面积为</w:t>
      </w:r>
      <w:r>
        <w:t>30-40平方米</w:t>
      </w:r>
      <w:r>
        <w:rPr>
          <w:rFonts w:hint="eastAsia"/>
        </w:rPr>
        <w:t>左右</w:t>
      </w:r>
      <w:r>
        <w:t>；</w:t>
      </w:r>
      <w:r>
        <w:rPr>
          <w:rFonts w:hint="eastAsia"/>
        </w:rPr>
        <w:t>住宅型保障性租赁住房，以</w:t>
      </w:r>
      <w:r>
        <w:t>50-70平方米</w:t>
      </w:r>
      <w:r>
        <w:rPr>
          <w:rFonts w:hint="eastAsia"/>
        </w:rPr>
        <w:t>一居室和两居室套型</w:t>
      </w:r>
      <w:r>
        <w:t>为主</w:t>
      </w:r>
      <w:r>
        <w:rPr>
          <w:rFonts w:hint="eastAsia"/>
        </w:rPr>
        <w:t>，每个居室实际居住人数不得超过</w:t>
      </w:r>
      <w:r>
        <w:t>2人（有法定赡养、抚养</w:t>
      </w:r>
      <w:r>
        <w:rPr>
          <w:rFonts w:hint="eastAsia"/>
        </w:rPr>
        <w:t>、抚养义务关系的除外）</w:t>
      </w:r>
      <w:r>
        <w:rPr>
          <w:rFonts w:hint="eastAsia" w:ascii="宋体" w:hAnsi="宋体" w:eastAsia="宋体" w:cs="宋体"/>
        </w:rPr>
        <w:t>。</w:t>
      </w:r>
      <w:r>
        <w:rPr>
          <w:rFonts w:hint="eastAsia"/>
          <w:color w:val="000000" w:themeColor="text1"/>
          <w14:textFill>
            <w14:solidFill>
              <w14:schemeClr w14:val="tx1"/>
            </w14:solidFill>
          </w14:textFill>
        </w:rPr>
        <w:t>用人单位建设筹集并面向员工提供的保障性租赁住房，在住房类型上以尊重用人单位</w:t>
      </w:r>
      <w:r>
        <w:rPr>
          <w:color w:val="000000" w:themeColor="text1"/>
          <w14:textFill>
            <w14:solidFill>
              <w14:schemeClr w14:val="tx1"/>
            </w14:solidFill>
          </w14:textFill>
        </w:rPr>
        <w:t>需求</w:t>
      </w:r>
      <w:r>
        <w:rPr>
          <w:rFonts w:hint="eastAsia"/>
          <w:color w:val="000000" w:themeColor="text1"/>
          <w14:textFill>
            <w14:solidFill>
              <w14:schemeClr w14:val="tx1"/>
            </w14:solidFill>
          </w14:textFill>
        </w:rPr>
        <w:t>为主；面向社会出租的保障性租赁住房，应适度控制住宅型比例。</w:t>
      </w:r>
    </w:p>
    <w:p>
      <w:pPr>
        <w:pStyle w:val="3"/>
        <w:spacing w:before="120"/>
      </w:pPr>
      <w:bookmarkStart w:id="83" w:name="_Toc101686471"/>
      <w:r>
        <w:rPr>
          <w:rFonts w:hint="eastAsia"/>
        </w:rPr>
        <w:t>（二</w:t>
      </w:r>
      <w:r>
        <w:t>）完善多元主体的房源供应体系</w:t>
      </w:r>
      <w:bookmarkEnd w:id="83"/>
    </w:p>
    <w:p>
      <w:pPr>
        <w:spacing w:before="120"/>
        <w:ind w:firstLine="643"/>
        <w:rPr>
          <w:rFonts w:ascii="Times New Roman" w:hAnsi="Times New Roman"/>
        </w:rPr>
      </w:pPr>
      <w:r>
        <w:rPr>
          <w:b/>
          <w:bCs/>
        </w:rPr>
        <w:t>利用集体经营性建设用地</w:t>
      </w:r>
      <w:r>
        <w:rPr>
          <w:rFonts w:hint="eastAsia"/>
          <w:b/>
          <w:bCs/>
        </w:rPr>
        <w:t>建设。</w:t>
      </w:r>
      <w:r>
        <w:rPr>
          <w:rFonts w:hint="eastAsia"/>
        </w:rPr>
        <w:t>以柯城城区为重点，结合城中村改造项目建设单间型和住宅型保障性租赁住房，缓解城市中心区租赁住房供需矛盾，改善职住平衡。鼓励和支持其他功能单元</w:t>
      </w:r>
      <w:r>
        <w:rPr>
          <w:rFonts w:hint="eastAsia" w:ascii="Times New Roman" w:hAnsi="Times New Roman"/>
        </w:rPr>
        <w:t>利用城区、靠近产业园区或交通便利区域的集体经营性建设用地建设保障性租赁住房</w:t>
      </w:r>
      <w:r>
        <w:rPr>
          <w:rFonts w:hint="eastAsia"/>
        </w:rPr>
        <w:t>。规划期内利用集体经营性建设用地建设保障性租赁住房约</w:t>
      </w:r>
      <w:r>
        <w:t>400</w:t>
      </w:r>
      <w:r>
        <w:rPr>
          <w:rFonts w:hint="eastAsia"/>
        </w:rPr>
        <w:t>套（间）。</w:t>
      </w:r>
    </w:p>
    <w:p>
      <w:pPr>
        <w:spacing w:before="120"/>
        <w:ind w:firstLine="643"/>
      </w:pPr>
      <w:r>
        <w:rPr>
          <w:b/>
          <w:bCs/>
        </w:rPr>
        <w:t>利用</w:t>
      </w:r>
      <w:r>
        <w:rPr>
          <w:rFonts w:hint="eastAsia"/>
          <w:b/>
          <w:bCs/>
        </w:rPr>
        <w:t>产业园区配套用地建设。</w:t>
      </w:r>
      <w:r>
        <w:rPr>
          <w:rFonts w:hint="eastAsia" w:ascii="Times New Roman" w:hAnsi="Times New Roman"/>
        </w:rPr>
        <w:t>以智造新城为重点，支持利用产业园区配套用地建设保障性租赁住房。将产业园区中新建工业项目配套建设行政办公及生活服务设施的用地面积占项目总用地面积的比例上限由</w:t>
      </w:r>
      <w:r>
        <w:rPr>
          <w:rFonts w:ascii="Times New Roman" w:hAnsi="Times New Roman"/>
        </w:rPr>
        <w:t>7%</w:t>
      </w:r>
      <w:r>
        <w:rPr>
          <w:rFonts w:hint="eastAsia" w:ascii="Times New Roman" w:hAnsi="Times New Roman"/>
        </w:rPr>
        <w:t>提高到</w:t>
      </w:r>
      <w:r>
        <w:rPr>
          <w:rFonts w:ascii="Times New Roman" w:hAnsi="Times New Roman"/>
        </w:rPr>
        <w:t>15%</w:t>
      </w:r>
      <w:r>
        <w:rPr>
          <w:rFonts w:hint="eastAsia" w:ascii="Times New Roman" w:hAnsi="Times New Roman"/>
        </w:rPr>
        <w:t>，建筑面积占比上限相应提高到</w:t>
      </w:r>
      <w:r>
        <w:rPr>
          <w:rFonts w:ascii="Times New Roman" w:hAnsi="Times New Roman"/>
        </w:rPr>
        <w:t>30%</w:t>
      </w:r>
      <w:r>
        <w:rPr>
          <w:rFonts w:hint="eastAsia" w:ascii="Times New Roman" w:hAnsi="Times New Roman"/>
        </w:rPr>
        <w:t>，提高部分主要用于建设宿舍型保障性租赁住房，严禁建设成套商品住宅；鼓励产业园区统筹小微企业需求，在东港片区、巨化片区、双西港片区选址，统一规划、统一建设宿舍型保障性租赁住房，项目可由产业园区管委会投资建设或与工业项目企业联合投资建设。</w:t>
      </w:r>
      <w:r>
        <w:rPr>
          <w:rFonts w:hint="eastAsia"/>
        </w:rPr>
        <w:t>规划期内利用产业园区配套用地建设保障性租赁住房约</w:t>
      </w:r>
      <w:r>
        <w:rPr>
          <w:rFonts w:ascii="Times New Roman" w:hAnsi="Times New Roman"/>
        </w:rPr>
        <w:t>339</w:t>
      </w:r>
      <w:r>
        <w:rPr>
          <w:rFonts w:hint="eastAsia"/>
        </w:rPr>
        <w:t>间。</w:t>
      </w:r>
    </w:p>
    <w:p>
      <w:pPr>
        <w:spacing w:before="120"/>
        <w:ind w:firstLine="643"/>
        <w:rPr>
          <w:rFonts w:ascii="Times New Roman" w:hAnsi="Times New Roman"/>
        </w:rPr>
      </w:pPr>
      <w:r>
        <w:rPr>
          <w:rFonts w:hint="eastAsia"/>
          <w:b/>
          <w:bCs/>
        </w:rPr>
        <w:t>利用企事业单位自有闲置土地建设。</w:t>
      </w:r>
      <w:r>
        <w:rPr>
          <w:rFonts w:hint="eastAsia" w:ascii="Times New Roman" w:hAnsi="Times New Roman"/>
        </w:rPr>
        <w:t>对企事业单位依法取得使用权的土地，在符合规划、权属不变、满足安全要求、尊重群众意愿的前提下，允许用于建设保障性租赁住房，以宿舍型或单间型为主；允许土地使用权人自建或与其他市场主体合作建设运营保障性租赁住房。规划期内积极探索和推动具备条件的企事业单位利用自有土地建设保障性租赁住房，暂不列入供应计划目标。</w:t>
      </w:r>
    </w:p>
    <w:p>
      <w:pPr>
        <w:spacing w:before="120"/>
        <w:ind w:firstLine="643"/>
      </w:pPr>
      <w:r>
        <w:rPr>
          <w:b/>
          <w:bCs/>
        </w:rPr>
        <w:t>利用存量</w:t>
      </w:r>
      <w:r>
        <w:rPr>
          <w:rFonts w:hint="eastAsia"/>
          <w:b/>
          <w:bCs/>
        </w:rPr>
        <w:t>闲置</w:t>
      </w:r>
      <w:r>
        <w:rPr>
          <w:b/>
          <w:bCs/>
        </w:rPr>
        <w:t>房屋改建</w:t>
      </w:r>
      <w:r>
        <w:rPr>
          <w:rFonts w:hint="eastAsia"/>
          <w:b/>
          <w:bCs/>
        </w:rPr>
        <w:t>。</w:t>
      </w:r>
      <w:r>
        <w:rPr>
          <w:rFonts w:hint="eastAsia"/>
        </w:rPr>
        <w:t>加大调查力度，深入挖掘存量资源改造潜力，鼓励专业化住房租赁企业等各类市场主体改建闲置、低效利用商业办公、旅馆、厂房、仓储等</w:t>
      </w:r>
      <w:r>
        <w:rPr>
          <w:rFonts w:hint="eastAsia" w:ascii="Times New Roman" w:hAnsi="Times New Roman"/>
        </w:rPr>
        <w:t>非居住存量房屋</w:t>
      </w:r>
      <w:r>
        <w:rPr>
          <w:rFonts w:hint="eastAsia"/>
        </w:rPr>
        <w:t>，</w:t>
      </w:r>
      <w:r>
        <w:rPr>
          <w:rFonts w:hint="eastAsia" w:ascii="Times New Roman" w:hAnsi="Times New Roman"/>
        </w:rPr>
        <w:t>在符合规划原则、权属不变、满足安全要求的前提下，改建为宿舍型或单间型保障性租赁住房，严禁建设成套商品住宅。</w:t>
      </w:r>
      <w:r>
        <w:rPr>
          <w:rFonts w:hint="eastAsia"/>
        </w:rPr>
        <w:t>改造保障性租赁住房须满足安全健康居住和消防疏散基本条件，符合相关建设标准、规范。规划期内</w:t>
      </w:r>
      <w:r>
        <w:t>利用存量</w:t>
      </w:r>
      <w:r>
        <w:rPr>
          <w:rFonts w:hint="eastAsia"/>
        </w:rPr>
        <w:t>闲置</w:t>
      </w:r>
      <w:r>
        <w:t>房屋改建</w:t>
      </w:r>
      <w:r>
        <w:rPr>
          <w:rFonts w:hint="eastAsia"/>
        </w:rPr>
        <w:t>保障性租赁住房约</w:t>
      </w:r>
      <w:r>
        <w:t>978</w:t>
      </w:r>
      <w:r>
        <w:rPr>
          <w:rFonts w:hint="eastAsia"/>
        </w:rPr>
        <w:t>间。</w:t>
      </w:r>
    </w:p>
    <w:p>
      <w:pPr>
        <w:spacing w:before="120"/>
        <w:ind w:firstLine="643"/>
        <w:rPr>
          <w:rFonts w:ascii="Times New Roman" w:hAnsi="Times New Roman"/>
        </w:rPr>
      </w:pPr>
      <w:r>
        <w:rPr>
          <w:b/>
          <w:bCs/>
        </w:rPr>
        <w:t>利用</w:t>
      </w:r>
      <w:r>
        <w:rPr>
          <w:rFonts w:hint="eastAsia"/>
          <w:b/>
          <w:bCs/>
        </w:rPr>
        <w:t>新供应</w:t>
      </w:r>
      <w:r>
        <w:rPr>
          <w:b/>
          <w:bCs/>
        </w:rPr>
        <w:t>国有住宅用地建设</w:t>
      </w:r>
      <w:r>
        <w:rPr>
          <w:rFonts w:hint="eastAsia"/>
          <w:b/>
          <w:bCs/>
        </w:rPr>
        <w:t>。</w:t>
      </w:r>
      <w:r>
        <w:rPr>
          <w:rFonts w:hint="eastAsia" w:ascii="Times New Roman" w:hAnsi="Times New Roman"/>
        </w:rPr>
        <w:t>结合未来社区、人才公寓、重点企业员工宿舍等项目安排，支持在产业园区、商业商务集聚区、高校科研院所、公交枢纽站点</w:t>
      </w:r>
      <w:r>
        <w:rPr>
          <w:rFonts w:hint="eastAsia"/>
        </w:rPr>
        <w:t>周边安排保障性租赁住房用地，或在商品住宅用地中</w:t>
      </w:r>
      <w:r>
        <w:rPr>
          <w:rFonts w:hint="eastAsia" w:ascii="Times New Roman" w:hAnsi="Times New Roman"/>
        </w:rPr>
        <w:t>配建一定比例的保障性租赁住房。利用新供应国有住宅用地建设的保障性租赁住房以单间型和住宅型为主，鼓励专业化住房租赁企业参与运营管理。</w:t>
      </w:r>
      <w:r>
        <w:rPr>
          <w:rFonts w:hint="eastAsia"/>
        </w:rPr>
        <w:t>规划期内利用新供应国有住宅用地建设保障性租赁住房约</w:t>
      </w:r>
      <w:r>
        <w:t>8283</w:t>
      </w:r>
      <w:r>
        <w:rPr>
          <w:rFonts w:hint="eastAsia"/>
        </w:rPr>
        <w:t>套（间），其中包括企业自筹资金建设的员工宿舍</w:t>
      </w:r>
      <w:r>
        <w:t>5024</w:t>
      </w:r>
      <w:r>
        <w:rPr>
          <w:rFonts w:hint="eastAsia"/>
        </w:rPr>
        <w:t>套（间），市政府谋划建设的人才公寓2</w:t>
      </w:r>
      <w:r>
        <w:t>000</w:t>
      </w:r>
      <w:r>
        <w:rPr>
          <w:rFonts w:hint="eastAsia"/>
        </w:rPr>
        <w:t>套（间）以上。</w:t>
      </w:r>
    </w:p>
    <w:p>
      <w:pPr>
        <w:pStyle w:val="3"/>
        <w:spacing w:before="120"/>
      </w:pPr>
      <w:bookmarkStart w:id="84" w:name="_Toc101686472"/>
      <w:r>
        <w:rPr>
          <w:rFonts w:hint="eastAsia"/>
        </w:rPr>
        <w:t>（三</w:t>
      </w:r>
      <w:r>
        <w:t>）支持专业化规模化的市场供应主体</w:t>
      </w:r>
      <w:bookmarkEnd w:id="84"/>
    </w:p>
    <w:p>
      <w:pPr>
        <w:spacing w:before="120"/>
        <w:ind w:firstLine="643"/>
      </w:pPr>
      <w:r>
        <w:rPr>
          <w:rFonts w:hint="eastAsia"/>
          <w:b/>
          <w:bCs/>
        </w:rPr>
        <w:t>发挥国有企业的引领作用。</w:t>
      </w:r>
      <w:r>
        <w:rPr>
          <w:rFonts w:hint="eastAsia"/>
        </w:rPr>
        <w:t>鼓励国有企业发挥社会担当和“压舱石”作用，在回报率相对较低、回报周期相对较长的“硬资产”投资领域引领牵头，利用自身在房源获取、金融支持、税收优惠等方面的优势，积极新建和筹集保障性租赁住房，自持运营或为其他运营企业提供长期、稳定的房源供给。</w:t>
      </w:r>
    </w:p>
    <w:p>
      <w:pPr>
        <w:spacing w:before="120"/>
        <w:ind w:firstLine="643"/>
      </w:pPr>
      <w:r>
        <w:rPr>
          <w:rFonts w:hint="eastAsia"/>
          <w:b/>
          <w:bCs/>
        </w:rPr>
        <w:t>提高专业化企业保障性租赁住房运营服务规模。</w:t>
      </w:r>
      <w:r>
        <w:rPr>
          <w:rFonts w:hint="eastAsia"/>
        </w:rPr>
        <w:t>以市场为主导，积极引入专业化、规模化的住房租赁企业从事保障性租赁住房的运营服务，培育鼓励本地租赁企业发展。提高专业化租赁企业的保障性租赁住房运营规模，通过规模化、集约化、专业化提升运营管理水平。</w:t>
      </w:r>
    </w:p>
    <w:p>
      <w:pPr>
        <w:spacing w:before="120"/>
        <w:ind w:firstLine="643"/>
      </w:pPr>
      <w:r>
        <w:rPr>
          <w:rFonts w:hint="eastAsia"/>
          <w:b/>
          <w:bCs/>
        </w:rPr>
        <w:t>发挥行业协会作用，加强企业自律管理和互动互促。</w:t>
      </w:r>
      <w:r>
        <w:rPr>
          <w:rFonts w:hint="eastAsia"/>
        </w:rPr>
        <w:t>发挥相关协会（租赁协会、房地产协会等）作用，协助政府制定和实施完善保障性租赁住房规范和有关技术标准，建立健全各项管理制度。完善从业人员行为准则，促进保障性租赁住房开发建设、运营企业和人员依法经营、诚实守信、品质服务。加强企业交流和从业人员业务培训，不断提高行业发展水平和从业人员业务素质。</w:t>
      </w:r>
    </w:p>
    <w:p>
      <w:pPr>
        <w:pStyle w:val="3"/>
        <w:spacing w:before="120"/>
      </w:pPr>
      <w:bookmarkStart w:id="85" w:name="_Toc101686473"/>
      <w:r>
        <w:rPr>
          <w:rFonts w:hint="eastAsia"/>
        </w:rPr>
        <w:t>（四</w:t>
      </w:r>
      <w:r>
        <w:t>）提升住房品质和居住服务水平</w:t>
      </w:r>
      <w:bookmarkEnd w:id="85"/>
    </w:p>
    <w:p>
      <w:pPr>
        <w:spacing w:before="120"/>
        <w:ind w:firstLine="643"/>
      </w:pPr>
      <w:r>
        <w:rPr>
          <w:rFonts w:hint="eastAsia"/>
          <w:b/>
          <w:bCs/>
        </w:rPr>
        <w:t>严格保证安全卫生条件。</w:t>
      </w:r>
      <w:r>
        <w:rPr>
          <w:rFonts w:hint="eastAsia" w:ascii="Times New Roman" w:hAnsi="Times New Roman"/>
          <w:spacing w:val="-8"/>
        </w:rPr>
        <w:t>新建和改建的保障性租赁住房建设标准按照《住房和城乡建设部办公厅关于集中式租赁住房建设适用标准的通知》（建办标〔</w:t>
      </w:r>
      <w:r>
        <w:rPr>
          <w:rFonts w:ascii="Times New Roman" w:hAnsi="Times New Roman"/>
          <w:spacing w:val="-8"/>
        </w:rPr>
        <w:t>2021</w:t>
      </w:r>
      <w:r>
        <w:rPr>
          <w:rFonts w:hint="eastAsia" w:ascii="Times New Roman" w:hAnsi="Times New Roman"/>
          <w:spacing w:val="-8"/>
        </w:rPr>
        <w:t>〕</w:t>
      </w:r>
      <w:r>
        <w:rPr>
          <w:rFonts w:ascii="Times New Roman" w:hAnsi="Times New Roman"/>
          <w:spacing w:val="-8"/>
        </w:rPr>
        <w:t>19</w:t>
      </w:r>
      <w:r>
        <w:rPr>
          <w:rFonts w:hint="eastAsia" w:ascii="Times New Roman" w:hAnsi="Times New Roman"/>
          <w:spacing w:val="-8"/>
        </w:rPr>
        <w:t>号）的相关要求执行</w:t>
      </w:r>
      <w:r>
        <w:rPr>
          <w:rFonts w:hint="eastAsia"/>
        </w:rPr>
        <w:t>。保障性租赁住房应提供简约、环保的基本装修，配置必要的生活设施，具备入住要求。加强保障性租赁住房小区安保、清洁和维修养护，打造安全、卫生、舒适的居住环境。</w:t>
      </w:r>
    </w:p>
    <w:p>
      <w:pPr>
        <w:spacing w:before="120"/>
        <w:ind w:firstLine="643"/>
      </w:pPr>
      <w:r>
        <w:rPr>
          <w:rFonts w:hint="eastAsia"/>
          <w:b/>
          <w:bCs/>
        </w:rPr>
        <w:t>推广精细化与绿色智能的建造设计。</w:t>
      </w:r>
      <w:r>
        <w:rPr>
          <w:rFonts w:hint="eastAsia"/>
        </w:rPr>
        <w:t>倡导高质量、精细化的建筑设计与室内装修。推动智慧化租赁服务管理，为住户提供智能化居住体验。提升保障性租赁住房能效水平和产业化水平，在建设和装修环节，推进装配式建筑和标准化部件运用，推广应用绿色环保材料，率先执行绿色建筑标准规范。</w:t>
      </w:r>
    </w:p>
    <w:p>
      <w:pPr>
        <w:adjustRightInd w:val="0"/>
        <w:snapToGrid w:val="0"/>
        <w:spacing w:before="120"/>
        <w:ind w:firstLine="643"/>
        <w:rPr>
          <w:b/>
          <w:bCs/>
        </w:rPr>
      </w:pPr>
      <w:r>
        <w:rPr>
          <w:rFonts w:hint="eastAsia"/>
          <w:b/>
          <w:bCs/>
        </w:rPr>
        <w:t>打造宜居空间环境。</w:t>
      </w:r>
      <w:r>
        <w:rPr>
          <w:rFonts w:hint="eastAsia" w:hAnsi="仿宋_GB2312" w:cs="仿宋_GB2312"/>
          <w:u w:color="000000"/>
          <w:lang w:val="zh-TW" w:eastAsia="zh-TW"/>
        </w:rPr>
        <w:t>保障性租赁住房新建</w:t>
      </w:r>
      <w:r>
        <w:rPr>
          <w:rFonts w:hint="eastAsia"/>
          <w:spacing w:val="6"/>
        </w:rPr>
        <w:t>和改建，应</w:t>
      </w:r>
      <w:r>
        <w:rPr>
          <w:rFonts w:hint="eastAsia" w:hAnsi="仿宋_GB2312" w:cs="仿宋_GB2312"/>
          <w:u w:color="000000"/>
          <w:lang w:val="zh-TW" w:eastAsia="zh-TW"/>
        </w:rPr>
        <w:t>充分考虑交通、服务设施承载力及居住环境舒适性的要求，合理控制规模、容积率等规划指标。规划建设应进一步增强住区周边与内部绿地和公共开放空间可达性。根据规划引导管控建筑高度、体量、色彩和风格等，打造与周边环境相协调并具有地方特色的景观风貌。</w:t>
      </w:r>
    </w:p>
    <w:p>
      <w:pPr>
        <w:spacing w:before="120"/>
        <w:ind w:firstLine="643"/>
      </w:pPr>
      <w:r>
        <w:rPr>
          <w:rFonts w:hint="eastAsia"/>
          <w:b/>
          <w:bCs/>
        </w:rPr>
        <w:t>提高租住服务水平。</w:t>
      </w:r>
      <w:r>
        <w:rPr>
          <w:rFonts w:hint="eastAsia"/>
        </w:rPr>
        <w:t>保障性租赁住房应立足新市民、青年人生活需要，合理安排商业服务设施、公共服务设施及基础设施配套，增加公共活动空间，营造兼具环境友好、设施完善、活力多元等特征的社区生活。鼓励发展人性化、标准化、智能化的租赁住房运营管理模式。</w:t>
      </w:r>
    </w:p>
    <w:p>
      <w:pPr>
        <w:pStyle w:val="3"/>
        <w:spacing w:before="120"/>
      </w:pPr>
      <w:bookmarkStart w:id="86" w:name="_Toc101686474"/>
      <w:r>
        <w:rPr>
          <w:rFonts w:hint="eastAsia"/>
        </w:rPr>
        <w:t>（五</w:t>
      </w:r>
      <w:r>
        <w:t>）提高监管服务水平</w:t>
      </w:r>
      <w:bookmarkEnd w:id="86"/>
    </w:p>
    <w:p>
      <w:pPr>
        <w:spacing w:before="120"/>
        <w:ind w:firstLine="643"/>
      </w:pPr>
      <w:r>
        <w:rPr>
          <w:rFonts w:hint="eastAsia"/>
          <w:b/>
          <w:bCs/>
        </w:rPr>
        <w:t>严格项目准入管理。</w:t>
      </w:r>
      <w:r>
        <w:rPr>
          <w:rFonts w:hint="eastAsia"/>
        </w:rPr>
        <w:t>对于政府给予政策支持的租赁住房项目，在取得保障性租赁住房项目认定书后，纳入保障性租赁住房规范管理，享受保障性租赁住房相关支持政策。由项目建设主体或项目运营管理主体负责做好受理、审核配租、退出等日常管理工作，建立房屋常态化管理机制，落实保安保洁和维修养护等工作。</w:t>
      </w:r>
    </w:p>
    <w:p>
      <w:pPr>
        <w:spacing w:before="120"/>
        <w:ind w:firstLine="643"/>
      </w:pPr>
      <w:r>
        <w:rPr>
          <w:rFonts w:hint="eastAsia"/>
          <w:b/>
          <w:bCs/>
        </w:rPr>
        <w:t>强化项目建设管理。</w:t>
      </w:r>
      <w:r>
        <w:rPr>
          <w:rFonts w:hint="eastAsia"/>
        </w:rPr>
        <w:t>加强保障性租赁住房项目工程质量安全监管，加大监督检查力度，实行全过程重点监管。对于集中式保障性租赁住房项目建设，应遵照《住房和城乡建设厅关于集中式租赁住房建设适用标准的通知》（建办标〔</w:t>
      </w:r>
      <w:r>
        <w:t>2021〕19号）有关规定。</w:t>
      </w:r>
      <w:r>
        <w:rPr>
          <w:rFonts w:hint="eastAsia"/>
        </w:rPr>
        <w:t>鼓励符合条件的项目采取代建模式，积极引入品牌企业参与项目建设，提升住房品质。</w:t>
      </w:r>
    </w:p>
    <w:p>
      <w:pPr>
        <w:spacing w:before="120"/>
        <w:ind w:firstLine="643"/>
      </w:pPr>
      <w:r>
        <w:rPr>
          <w:rFonts w:hint="eastAsia"/>
          <w:b/>
          <w:bCs/>
        </w:rPr>
        <w:t>规范项目运营管理。</w:t>
      </w:r>
      <w:r>
        <w:rPr>
          <w:rFonts w:hint="eastAsia" w:ascii="Times New Roman" w:hAnsi="Times New Roman"/>
        </w:rPr>
        <w:t>保障性租赁住房运营主体应当为依法办理市场主体登记的住房租赁企业（面向本单位职工或特定对象出租的除外）。</w:t>
      </w:r>
      <w:r>
        <w:rPr>
          <w:rFonts w:hint="eastAsia"/>
        </w:rPr>
        <w:t>提高保障性租赁住房使用效率，减少空置。推进信用体系建设，建立健全涵盖投资主体、建设单位、运营管理单位、用人单位、承租对象等多主体的诚信档案，建立完善守信联合激励和失信联合惩戒机制。</w:t>
      </w:r>
    </w:p>
    <w:p>
      <w:pPr>
        <w:spacing w:before="120"/>
        <w:ind w:firstLine="643"/>
      </w:pPr>
      <w:r>
        <w:rPr>
          <w:rFonts w:hint="eastAsia"/>
          <w:b/>
          <w:bCs/>
        </w:rPr>
        <w:t>加强项目权属管理。</w:t>
      </w:r>
      <w:r>
        <w:rPr>
          <w:rFonts w:hint="eastAsia"/>
        </w:rPr>
        <w:t>保障性租赁住房项目须整体确权，不得分割登记、分割转让、分割抵押，不得上市销售或变相销售，严禁以保障性租赁住房为名违规经营或骗取优惠政策。涉及整体转让的，须经市政府审核批准，转让后原保障性租赁住房性质和土地用途不变。其</w:t>
      </w:r>
      <w:r>
        <w:t>中，工业项目范围内建设的保</w:t>
      </w:r>
      <w:r>
        <w:rPr>
          <w:rFonts w:hint="eastAsia"/>
        </w:rPr>
        <w:t>障性租赁住房须与生产性厂房一并转让，不得单独转让；工业项目企业与产业园区管委会联合投资建设的保障性租赁住房，涉及转让其部分产权的，产业园区管委会可优先购买。利用企事业单位自有闲置土地和非居住存量房屋建设的保障性租赁住房，如遇征收拆迁，仍按原土地用途和取得方式进行补偿。</w:t>
      </w:r>
    </w:p>
    <w:p>
      <w:pPr>
        <w:spacing w:before="120"/>
        <w:ind w:firstLine="643"/>
      </w:pPr>
      <w:r>
        <w:rPr>
          <w:rFonts w:hint="eastAsia"/>
          <w:b/>
          <w:bCs/>
        </w:rPr>
        <w:t>推进全生命周期数字化管理。</w:t>
      </w:r>
      <w:r>
        <w:rPr>
          <w:rFonts w:hint="eastAsia"/>
        </w:rPr>
        <w:t>建立健全保障性租赁住房管理服务平台，完善信息共享机制，实现对保障性租赁住房项目申报、认定、建设、出租和运营管理的全过程管理。优化保障性租赁住房项目审批流程，构建快速审批绿色通道，压缩审批时限，精简审批事项和环节，提高项目审批效率。</w:t>
      </w:r>
    </w:p>
    <w:p>
      <w:pPr>
        <w:spacing w:before="120"/>
      </w:pPr>
    </w:p>
    <w:p>
      <w:pPr>
        <w:pStyle w:val="3"/>
        <w:spacing w:before="120"/>
        <w:ind w:firstLine="0" w:firstLineChars="0"/>
      </w:pPr>
      <w:bookmarkStart w:id="87" w:name="_Toc101686475"/>
      <w:r>
        <w:rPr>
          <w:rFonts w:hint="eastAsia"/>
        </w:rPr>
        <w:t>五、空间布局与分区指引</w:t>
      </w:r>
      <w:bookmarkEnd w:id="87"/>
    </w:p>
    <w:p>
      <w:pPr>
        <w:spacing w:before="120"/>
        <w:rPr>
          <w:bCs/>
        </w:rPr>
      </w:pPr>
      <w:r>
        <w:rPr>
          <w:rFonts w:hint="eastAsia"/>
          <w:bCs/>
          <w:szCs w:val="30"/>
        </w:rPr>
        <w:t>综合考虑柯城城区、智造新城的保障性租赁住房的供给与协同布局，统筹建设位于柯城城区范围内的华友衢州产业园自建租赁住房项目，“十四五”期间</w:t>
      </w:r>
      <w:r>
        <w:rPr>
          <w:rFonts w:hint="eastAsia"/>
        </w:rPr>
        <w:t>柯城城区</w:t>
      </w:r>
      <w:r>
        <w:rPr>
          <w:rFonts w:hint="eastAsia"/>
          <w:bCs/>
        </w:rPr>
        <w:t>新增供应保障性租赁住房</w:t>
      </w:r>
      <w:r>
        <w:rPr>
          <w:bCs/>
        </w:rPr>
        <w:t>5100</w:t>
      </w:r>
      <w:r>
        <w:rPr>
          <w:rFonts w:hint="eastAsia"/>
          <w:bCs/>
        </w:rPr>
        <w:t>套（间），</w:t>
      </w:r>
      <w:r>
        <w:rPr>
          <w:rFonts w:hint="eastAsia"/>
        </w:rPr>
        <w:t>衢江城区</w:t>
      </w:r>
      <w:r>
        <w:rPr>
          <w:rFonts w:hint="eastAsia"/>
          <w:bCs/>
        </w:rPr>
        <w:t>新增供应保障性租赁住房</w:t>
      </w:r>
      <w:r>
        <w:rPr>
          <w:bCs/>
        </w:rPr>
        <w:t>1100套（间），</w:t>
      </w:r>
      <w:r>
        <w:rPr>
          <w:rFonts w:hint="eastAsia"/>
        </w:rPr>
        <w:t>智慧新城</w:t>
      </w:r>
      <w:r>
        <w:rPr>
          <w:rFonts w:hint="eastAsia"/>
          <w:bCs/>
        </w:rPr>
        <w:t>新增供应保障性租赁住房</w:t>
      </w:r>
      <w:r>
        <w:rPr>
          <w:bCs/>
        </w:rPr>
        <w:t>2100</w:t>
      </w:r>
      <w:r>
        <w:rPr>
          <w:rFonts w:hint="eastAsia"/>
          <w:bCs/>
        </w:rPr>
        <w:t>套（间），</w:t>
      </w:r>
      <w:r>
        <w:rPr>
          <w:rFonts w:hint="eastAsia"/>
        </w:rPr>
        <w:t>智造新城</w:t>
      </w:r>
      <w:r>
        <w:rPr>
          <w:rFonts w:hint="eastAsia"/>
          <w:bCs/>
        </w:rPr>
        <w:t>新增供应保障性租赁住房</w:t>
      </w:r>
      <w:r>
        <w:rPr>
          <w:bCs/>
        </w:rPr>
        <w:t>1700</w:t>
      </w:r>
      <w:r>
        <w:rPr>
          <w:rFonts w:hint="eastAsia"/>
          <w:bCs/>
        </w:rPr>
        <w:t>套（间）。</w:t>
      </w:r>
    </w:p>
    <w:p>
      <w:pPr>
        <w:pStyle w:val="3"/>
        <w:spacing w:before="120"/>
      </w:pPr>
      <w:bookmarkStart w:id="88" w:name="_Toc101686476"/>
      <w:r>
        <w:rPr>
          <w:rFonts w:hint="eastAsia"/>
        </w:rPr>
        <w:t>（一）计划筹集及意向项目情况</w:t>
      </w:r>
      <w:bookmarkEnd w:id="88"/>
    </w:p>
    <w:p>
      <w:pPr>
        <w:spacing w:before="120"/>
      </w:pPr>
      <w:r>
        <w:t>目前衢州市已计划筹集及意向项目总计</w:t>
      </w:r>
      <w:r>
        <w:rPr>
          <w:rFonts w:hint="eastAsia"/>
        </w:rPr>
        <w:t>1</w:t>
      </w:r>
      <w:r>
        <w:t>2363套</w:t>
      </w:r>
      <w:r>
        <w:rPr>
          <w:rFonts w:hint="eastAsia"/>
          <w:bCs/>
        </w:rPr>
        <w:t>（间）</w:t>
      </w:r>
      <w:r>
        <w:rPr>
          <w:rFonts w:hint="eastAsia"/>
        </w:rPr>
        <w:t>，</w:t>
      </w:r>
      <w:r>
        <w:t>其中柯城城区</w:t>
      </w:r>
      <w:r>
        <w:rPr>
          <w:rFonts w:hint="eastAsia"/>
        </w:rPr>
        <w:t>5</w:t>
      </w:r>
      <w:r>
        <w:t>998套</w:t>
      </w:r>
      <w:r>
        <w:rPr>
          <w:rFonts w:hint="eastAsia"/>
          <w:bCs/>
        </w:rPr>
        <w:t>（间）</w:t>
      </w:r>
      <w:r>
        <w:rPr>
          <w:rFonts w:hint="eastAsia"/>
        </w:rPr>
        <w:t>，</w:t>
      </w:r>
      <w:r>
        <w:t>衢江城区</w:t>
      </w:r>
      <w:r>
        <w:rPr>
          <w:rFonts w:hint="eastAsia"/>
        </w:rPr>
        <w:t>9</w:t>
      </w:r>
      <w:r>
        <w:t>15套</w:t>
      </w:r>
      <w:r>
        <w:rPr>
          <w:rFonts w:hint="eastAsia"/>
          <w:bCs/>
        </w:rPr>
        <w:t>（间）</w:t>
      </w:r>
      <w:r>
        <w:rPr>
          <w:rFonts w:hint="eastAsia"/>
        </w:rPr>
        <w:t>，智慧新城3</w:t>
      </w:r>
      <w:r>
        <w:t>457套</w:t>
      </w:r>
      <w:r>
        <w:rPr>
          <w:rFonts w:hint="eastAsia"/>
          <w:bCs/>
        </w:rPr>
        <w:t>（间）</w:t>
      </w:r>
      <w:r>
        <w:rPr>
          <w:rFonts w:hint="eastAsia"/>
        </w:rPr>
        <w:t>，</w:t>
      </w:r>
      <w:r>
        <w:t>智造新城</w:t>
      </w:r>
      <w:r>
        <w:rPr>
          <w:rFonts w:hint="eastAsia"/>
        </w:rPr>
        <w:t>1</w:t>
      </w:r>
      <w:r>
        <w:t>993套</w:t>
      </w:r>
      <w:r>
        <w:rPr>
          <w:rFonts w:hint="eastAsia"/>
          <w:bCs/>
        </w:rPr>
        <w:t>（间）</w:t>
      </w:r>
      <w:r>
        <w:rPr>
          <w:rFonts w:hint="eastAsia"/>
        </w:rPr>
        <w:t>。其中衢江城区目前储备项目不足，未来应进一步挖掘存量改造潜力，或通过新供应国有建设用地方式补充供应，确保完成保障性租赁住房的供给目标。</w:t>
      </w:r>
    </w:p>
    <w:p>
      <w:pPr>
        <w:spacing w:before="120"/>
      </w:pPr>
      <w:r>
        <w:rPr>
          <w:rFonts w:hint="eastAsia"/>
        </w:rPr>
        <w:t>未来衢州市区可根据项目实际建设条件、优先考虑交通区位、周边配套设施等条件区域，积极挖潜存量建设用地，综合确定实际纳入保障性租赁住房计划的项目。对于位于区位条件相对差、周边设施不足区域的保障性租赁住房应同步开展周边设施配套建设，完善公交专线、文化、商业等各类服务设施。</w:t>
      </w:r>
    </w:p>
    <w:p>
      <w:pPr>
        <w:spacing w:before="240" w:beforeLines="100" w:line="240" w:lineRule="auto"/>
        <w:ind w:firstLine="0" w:firstLineChars="0"/>
        <w:jc w:val="center"/>
        <w:rPr>
          <w:b/>
          <w:sz w:val="28"/>
          <w:szCs w:val="36"/>
        </w:rPr>
      </w:pPr>
      <w:r>
        <w:rPr>
          <w:rFonts w:hint="eastAsia"/>
          <w:b/>
          <w:sz w:val="28"/>
          <w:szCs w:val="36"/>
        </w:rPr>
        <w:t>表</w:t>
      </w:r>
      <w:r>
        <w:rPr>
          <w:b/>
          <w:sz w:val="28"/>
          <w:szCs w:val="36"/>
        </w:rPr>
        <w:t xml:space="preserve">3 </w:t>
      </w:r>
      <w:r>
        <w:rPr>
          <w:rFonts w:hint="eastAsia"/>
          <w:b/>
          <w:sz w:val="28"/>
          <w:szCs w:val="36"/>
        </w:rPr>
        <w:t>保障性租赁住房计划筹集和意向项目来源渠道分区一览表</w:t>
      </w:r>
    </w:p>
    <w:p>
      <w:pPr>
        <w:spacing w:before="0" w:beforeLines="0" w:line="240" w:lineRule="auto"/>
        <w:ind w:firstLine="0" w:firstLineChars="0"/>
        <w:jc w:val="right"/>
        <w:rPr>
          <w:b/>
          <w:sz w:val="21"/>
          <w:szCs w:val="36"/>
        </w:rPr>
      </w:pPr>
      <w:r>
        <w:rPr>
          <w:b/>
          <w:sz w:val="21"/>
          <w:szCs w:val="36"/>
        </w:rPr>
        <w:t>单位</w:t>
      </w:r>
      <w:r>
        <w:rPr>
          <w:rFonts w:hint="eastAsia"/>
          <w:b/>
          <w:sz w:val="21"/>
          <w:szCs w:val="36"/>
        </w:rPr>
        <w:t>：套（间）</w:t>
      </w:r>
    </w:p>
    <w:tbl>
      <w:tblPr>
        <w:tblStyle w:val="24"/>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1275"/>
        <w:gridCol w:w="1180"/>
        <w:gridCol w:w="1203"/>
        <w:gridCol w:w="1204"/>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2972" w:type="dxa"/>
            <w:tcBorders>
              <w:top w:val="single" w:color="auto" w:sz="4" w:space="0"/>
              <w:left w:val="single" w:color="auto" w:sz="4" w:space="0"/>
              <w:bottom w:val="single" w:color="auto" w:sz="4" w:space="0"/>
              <w:right w:val="single" w:color="auto" w:sz="4" w:space="0"/>
            </w:tcBorders>
          </w:tcPr>
          <w:p>
            <w:pPr>
              <w:widowControl/>
              <w:spacing w:before="120" w:line="240" w:lineRule="auto"/>
              <w:ind w:firstLine="0" w:firstLineChars="0"/>
              <w:jc w:val="center"/>
              <w:rPr>
                <w:rFonts w:ascii="仿宋" w:eastAsia="仿宋" w:cs="宋体"/>
                <w:b/>
                <w:bCs/>
                <w:sz w:val="24"/>
                <w:szCs w:val="24"/>
              </w:rPr>
            </w:pPr>
          </w:p>
        </w:tc>
        <w:tc>
          <w:tcPr>
            <w:tcW w:w="1275" w:type="dxa"/>
            <w:tcBorders>
              <w:top w:val="single" w:color="auto" w:sz="4" w:space="0"/>
              <w:left w:val="single" w:color="auto" w:sz="4" w:space="0"/>
              <w:bottom w:val="single" w:color="auto" w:sz="4" w:space="0"/>
              <w:right w:val="single" w:color="auto" w:sz="4" w:space="0"/>
            </w:tcBorders>
          </w:tcPr>
          <w:p>
            <w:pPr>
              <w:widowControl/>
              <w:spacing w:before="120" w:line="240" w:lineRule="auto"/>
              <w:ind w:firstLine="0" w:firstLineChars="0"/>
              <w:jc w:val="center"/>
              <w:rPr>
                <w:rFonts w:ascii="仿宋" w:eastAsia="仿宋" w:cs="宋体"/>
                <w:b/>
                <w:bCs/>
                <w:sz w:val="24"/>
                <w:szCs w:val="24"/>
              </w:rPr>
            </w:pPr>
            <w:r>
              <w:rPr>
                <w:rFonts w:hint="eastAsia" w:ascii="仿宋" w:eastAsia="仿宋" w:cs="宋体"/>
                <w:b/>
                <w:bCs/>
                <w:sz w:val="24"/>
                <w:szCs w:val="24"/>
              </w:rPr>
              <w:t>衢州市区</w:t>
            </w:r>
          </w:p>
        </w:tc>
        <w:tc>
          <w:tcPr>
            <w:tcW w:w="1180" w:type="dxa"/>
            <w:tcBorders>
              <w:top w:val="single" w:color="auto" w:sz="4" w:space="0"/>
              <w:left w:val="single" w:color="auto" w:sz="4" w:space="0"/>
              <w:bottom w:val="single" w:color="auto" w:sz="4" w:space="0"/>
              <w:right w:val="single" w:color="auto" w:sz="4" w:space="0"/>
            </w:tcBorders>
          </w:tcPr>
          <w:p>
            <w:pPr>
              <w:widowControl/>
              <w:spacing w:before="120" w:line="240" w:lineRule="auto"/>
              <w:ind w:firstLine="0" w:firstLineChars="0"/>
              <w:jc w:val="center"/>
              <w:rPr>
                <w:rFonts w:ascii="仿宋" w:eastAsia="仿宋" w:cs="宋体"/>
                <w:b/>
                <w:bCs/>
                <w:sz w:val="24"/>
                <w:szCs w:val="24"/>
              </w:rPr>
            </w:pPr>
            <w:r>
              <w:rPr>
                <w:rFonts w:hint="eastAsia" w:ascii="仿宋" w:eastAsia="仿宋" w:cs="宋体"/>
                <w:b/>
                <w:bCs/>
                <w:sz w:val="24"/>
                <w:szCs w:val="24"/>
              </w:rPr>
              <w:t>柯城城区</w:t>
            </w:r>
          </w:p>
        </w:tc>
        <w:tc>
          <w:tcPr>
            <w:tcW w:w="1203" w:type="dxa"/>
            <w:tcBorders>
              <w:top w:val="single" w:color="auto" w:sz="4" w:space="0"/>
              <w:left w:val="single" w:color="auto" w:sz="4" w:space="0"/>
              <w:bottom w:val="single" w:color="auto" w:sz="4" w:space="0"/>
              <w:right w:val="single" w:color="auto" w:sz="4" w:space="0"/>
            </w:tcBorders>
          </w:tcPr>
          <w:p>
            <w:pPr>
              <w:widowControl/>
              <w:spacing w:before="120" w:line="240" w:lineRule="auto"/>
              <w:ind w:firstLine="0" w:firstLineChars="0"/>
              <w:jc w:val="center"/>
              <w:rPr>
                <w:rFonts w:ascii="仿宋" w:eastAsia="仿宋" w:cs="宋体"/>
                <w:b/>
                <w:bCs/>
                <w:sz w:val="24"/>
                <w:szCs w:val="24"/>
              </w:rPr>
            </w:pPr>
            <w:r>
              <w:rPr>
                <w:rFonts w:hint="eastAsia" w:ascii="仿宋" w:eastAsia="仿宋" w:cs="宋体"/>
                <w:b/>
                <w:bCs/>
                <w:sz w:val="24"/>
                <w:szCs w:val="24"/>
              </w:rPr>
              <w:t>衢江城区</w:t>
            </w:r>
          </w:p>
        </w:tc>
        <w:tc>
          <w:tcPr>
            <w:tcW w:w="1204" w:type="dxa"/>
            <w:tcBorders>
              <w:top w:val="single" w:color="auto" w:sz="4" w:space="0"/>
              <w:left w:val="single" w:color="auto" w:sz="4" w:space="0"/>
              <w:bottom w:val="single" w:color="auto" w:sz="4" w:space="0"/>
              <w:right w:val="single" w:color="auto" w:sz="4" w:space="0"/>
            </w:tcBorders>
          </w:tcPr>
          <w:p>
            <w:pPr>
              <w:widowControl/>
              <w:spacing w:before="120" w:line="240" w:lineRule="auto"/>
              <w:ind w:firstLine="0" w:firstLineChars="0"/>
              <w:jc w:val="center"/>
              <w:rPr>
                <w:rFonts w:ascii="仿宋" w:eastAsia="仿宋" w:cs="宋体"/>
                <w:b/>
                <w:bCs/>
                <w:sz w:val="24"/>
                <w:szCs w:val="24"/>
              </w:rPr>
            </w:pPr>
            <w:r>
              <w:rPr>
                <w:rFonts w:hint="eastAsia" w:ascii="仿宋" w:eastAsia="仿宋" w:cs="宋体"/>
                <w:b/>
                <w:bCs/>
                <w:sz w:val="24"/>
                <w:szCs w:val="24"/>
              </w:rPr>
              <w:t>智慧新城</w:t>
            </w:r>
          </w:p>
        </w:tc>
        <w:tc>
          <w:tcPr>
            <w:tcW w:w="1190" w:type="dxa"/>
            <w:tcBorders>
              <w:top w:val="single" w:color="auto" w:sz="4" w:space="0"/>
              <w:left w:val="single" w:color="auto" w:sz="4" w:space="0"/>
              <w:bottom w:val="single" w:color="auto" w:sz="4" w:space="0"/>
              <w:right w:val="single" w:color="auto" w:sz="4" w:space="0"/>
            </w:tcBorders>
          </w:tcPr>
          <w:p>
            <w:pPr>
              <w:widowControl/>
              <w:spacing w:before="120" w:line="240" w:lineRule="auto"/>
              <w:ind w:firstLine="0" w:firstLineChars="0"/>
              <w:jc w:val="center"/>
              <w:rPr>
                <w:rFonts w:ascii="仿宋" w:eastAsia="仿宋" w:cs="宋体"/>
                <w:b/>
                <w:bCs/>
                <w:sz w:val="24"/>
                <w:szCs w:val="24"/>
              </w:rPr>
            </w:pPr>
            <w:r>
              <w:rPr>
                <w:rFonts w:hint="eastAsia" w:ascii="仿宋" w:eastAsia="仿宋" w:cs="宋体"/>
                <w:b/>
                <w:bCs/>
                <w:sz w:val="24"/>
                <w:szCs w:val="24"/>
              </w:rPr>
              <w:t>智造新城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72" w:type="dxa"/>
            <w:tcBorders>
              <w:top w:val="single" w:color="auto" w:sz="4" w:space="0"/>
              <w:left w:val="single" w:color="auto" w:sz="4" w:space="0"/>
              <w:bottom w:val="single" w:color="auto" w:sz="4" w:space="0"/>
              <w:right w:val="single" w:color="auto" w:sz="4" w:space="0"/>
            </w:tcBorders>
          </w:tcPr>
          <w:p>
            <w:pPr>
              <w:widowControl/>
              <w:spacing w:before="120" w:line="240" w:lineRule="auto"/>
              <w:ind w:firstLine="0" w:firstLineChars="0"/>
              <w:jc w:val="center"/>
              <w:rPr>
                <w:rFonts w:ascii="仿宋" w:eastAsia="仿宋" w:cs="宋体"/>
                <w:bCs/>
                <w:sz w:val="24"/>
                <w:szCs w:val="24"/>
              </w:rPr>
            </w:pPr>
            <w:r>
              <w:rPr>
                <w:rFonts w:hint="eastAsia" w:ascii="仿宋" w:eastAsia="仿宋" w:cs="宋体"/>
                <w:bCs/>
                <w:sz w:val="24"/>
                <w:szCs w:val="24"/>
              </w:rPr>
              <w:t>合计</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12363</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5998</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915</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3457</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2972" w:type="dxa"/>
            <w:tcBorders>
              <w:top w:val="single" w:color="auto" w:sz="4" w:space="0"/>
              <w:left w:val="single" w:color="auto" w:sz="4" w:space="0"/>
              <w:bottom w:val="single" w:color="auto" w:sz="4" w:space="0"/>
              <w:right w:val="single" w:color="auto" w:sz="4" w:space="0"/>
            </w:tcBorders>
          </w:tcPr>
          <w:p>
            <w:pPr>
              <w:widowControl/>
              <w:spacing w:before="120" w:line="240" w:lineRule="auto"/>
              <w:ind w:firstLine="0" w:firstLineChars="0"/>
              <w:jc w:val="center"/>
              <w:rPr>
                <w:rFonts w:ascii="仿宋" w:eastAsia="仿宋" w:cs="宋体"/>
                <w:bCs/>
                <w:sz w:val="24"/>
                <w:szCs w:val="24"/>
              </w:rPr>
            </w:pPr>
            <w:r>
              <w:rPr>
                <w:rFonts w:hint="eastAsia" w:ascii="仿宋" w:eastAsia="仿宋" w:cs="宋体"/>
                <w:bCs/>
                <w:sz w:val="24"/>
                <w:szCs w:val="24"/>
              </w:rPr>
              <w:t>集体经营性建设用地建设</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400</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400</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0</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 w:hRule="atLeast"/>
          <w:jc w:val="center"/>
        </w:trPr>
        <w:tc>
          <w:tcPr>
            <w:tcW w:w="2972" w:type="dxa"/>
            <w:tcBorders>
              <w:top w:val="single" w:color="auto" w:sz="4" w:space="0"/>
              <w:left w:val="single" w:color="auto" w:sz="4" w:space="0"/>
              <w:bottom w:val="single" w:color="auto" w:sz="4" w:space="0"/>
              <w:right w:val="single" w:color="auto" w:sz="4" w:space="0"/>
            </w:tcBorders>
          </w:tcPr>
          <w:p>
            <w:pPr>
              <w:widowControl/>
              <w:spacing w:before="120" w:line="240" w:lineRule="auto"/>
              <w:ind w:firstLine="0" w:firstLineChars="0"/>
              <w:jc w:val="center"/>
              <w:rPr>
                <w:rFonts w:ascii="仿宋" w:eastAsia="仿宋" w:cs="宋体"/>
                <w:bCs/>
                <w:sz w:val="24"/>
                <w:szCs w:val="24"/>
              </w:rPr>
            </w:pPr>
            <w:r>
              <w:rPr>
                <w:rFonts w:hint="eastAsia" w:ascii="仿宋" w:eastAsia="仿宋" w:cs="宋体"/>
                <w:bCs/>
                <w:sz w:val="24"/>
                <w:szCs w:val="24"/>
              </w:rPr>
              <w:t>产业园区配套用地建设</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339</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0</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0</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2972" w:type="dxa"/>
            <w:tcBorders>
              <w:top w:val="single" w:color="auto" w:sz="4" w:space="0"/>
              <w:left w:val="single" w:color="auto" w:sz="4" w:space="0"/>
              <w:bottom w:val="single" w:color="auto" w:sz="4" w:space="0"/>
              <w:right w:val="single" w:color="auto" w:sz="4" w:space="0"/>
            </w:tcBorders>
          </w:tcPr>
          <w:p>
            <w:pPr>
              <w:widowControl/>
              <w:spacing w:before="120" w:line="240" w:lineRule="auto"/>
              <w:ind w:firstLine="0" w:firstLineChars="0"/>
              <w:jc w:val="center"/>
              <w:rPr>
                <w:rFonts w:ascii="仿宋" w:eastAsia="仿宋" w:cs="宋体"/>
                <w:bCs/>
                <w:sz w:val="24"/>
                <w:szCs w:val="24"/>
              </w:rPr>
            </w:pPr>
            <w:r>
              <w:rPr>
                <w:rFonts w:hint="eastAsia" w:ascii="仿宋" w:eastAsia="仿宋" w:cs="宋体"/>
                <w:bCs/>
                <w:sz w:val="24"/>
                <w:szCs w:val="24"/>
              </w:rPr>
              <w:t>存量闲置房屋建设</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978</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311</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0</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667</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972" w:type="dxa"/>
            <w:tcBorders>
              <w:top w:val="single" w:color="auto" w:sz="4" w:space="0"/>
              <w:left w:val="single" w:color="auto" w:sz="4" w:space="0"/>
              <w:bottom w:val="single" w:color="auto" w:sz="4" w:space="0"/>
              <w:right w:val="single" w:color="auto" w:sz="4" w:space="0"/>
            </w:tcBorders>
          </w:tcPr>
          <w:p>
            <w:pPr>
              <w:widowControl/>
              <w:spacing w:before="120" w:line="240" w:lineRule="auto"/>
              <w:ind w:firstLine="0" w:firstLineChars="0"/>
              <w:jc w:val="center"/>
              <w:rPr>
                <w:rFonts w:ascii="仿宋" w:eastAsia="仿宋" w:cs="宋体"/>
                <w:bCs/>
                <w:sz w:val="24"/>
                <w:szCs w:val="24"/>
              </w:rPr>
            </w:pPr>
            <w:r>
              <w:rPr>
                <w:rFonts w:hint="eastAsia" w:ascii="仿宋" w:eastAsia="仿宋" w:cs="宋体"/>
                <w:bCs/>
                <w:sz w:val="24"/>
                <w:szCs w:val="24"/>
              </w:rPr>
              <w:t>新供应国有用地建设</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10646</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5287</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915</w:t>
            </w:r>
          </w:p>
        </w:tc>
        <w:tc>
          <w:tcPr>
            <w:tcW w:w="1204"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2790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uto"/>
              <w:ind w:firstLine="0" w:firstLineChars="0"/>
              <w:jc w:val="center"/>
              <w:rPr>
                <w:rFonts w:ascii="仿宋" w:eastAsia="仿宋" w:cs="宋体"/>
                <w:bCs/>
                <w:sz w:val="24"/>
                <w:szCs w:val="24"/>
              </w:rPr>
            </w:pPr>
            <w:r>
              <w:rPr>
                <w:rFonts w:ascii="仿宋" w:eastAsia="仿宋" w:cs="宋体"/>
                <w:bCs/>
                <w:sz w:val="24"/>
                <w:szCs w:val="24"/>
              </w:rPr>
              <w:t>1654</w:t>
            </w:r>
          </w:p>
        </w:tc>
      </w:tr>
    </w:tbl>
    <w:p>
      <w:pPr>
        <w:spacing w:before="120"/>
      </w:pPr>
    </w:p>
    <w:p>
      <w:pPr>
        <w:pStyle w:val="3"/>
        <w:spacing w:before="120"/>
      </w:pPr>
      <w:bookmarkStart w:id="89" w:name="_Toc98246822"/>
      <w:bookmarkStart w:id="90" w:name="_Toc101686477"/>
      <w:r>
        <w:rPr>
          <w:rFonts w:hint="eastAsia"/>
        </w:rPr>
        <w:t>（二）柯城城区</w:t>
      </w:r>
      <w:bookmarkEnd w:id="89"/>
      <w:r>
        <w:rPr>
          <w:rFonts w:hint="eastAsia"/>
        </w:rPr>
        <w:t>分区指引</w:t>
      </w:r>
      <w:bookmarkEnd w:id="90"/>
    </w:p>
    <w:p>
      <w:pPr>
        <w:spacing w:before="120"/>
        <w:ind w:firstLine="643"/>
      </w:pPr>
      <w:r>
        <w:rPr>
          <w:rFonts w:hint="eastAsia"/>
          <w:b/>
        </w:rPr>
        <w:t>总体特征。</w:t>
      </w:r>
      <w:r>
        <w:rPr>
          <w:rFonts w:hint="eastAsia"/>
        </w:rPr>
        <w:t>柯城城区历史悠久、发展成熟，人口、产业相对密集，但面临发展空间有限的问题，未来重点围绕衢州古城区推动城市更新、品质提升等工作，打造彰显文化底蕴的魅力宜居城区。</w:t>
      </w:r>
    </w:p>
    <w:p>
      <w:pPr>
        <w:spacing w:before="120"/>
        <w:ind w:firstLine="643"/>
      </w:pPr>
      <w:r>
        <w:rPr>
          <w:b/>
        </w:rPr>
        <w:t>需求总量</w:t>
      </w:r>
      <w:r>
        <w:rPr>
          <w:rFonts w:hint="eastAsia"/>
          <w:b/>
        </w:rPr>
        <w:t>。</w:t>
      </w:r>
      <w:r>
        <w:rPr>
          <w:rFonts w:hint="eastAsia"/>
        </w:rPr>
        <w:t>至规划期末，柯城城区保障性租赁住房需求预测量为2</w:t>
      </w:r>
      <w:r>
        <w:t>100套</w:t>
      </w:r>
      <w:r>
        <w:rPr>
          <w:rFonts w:hint="eastAsia"/>
          <w:bCs/>
        </w:rPr>
        <w:t>（间）</w:t>
      </w:r>
      <w:r>
        <w:rPr>
          <w:rFonts w:hint="eastAsia"/>
        </w:rPr>
        <w:t>。</w:t>
      </w:r>
    </w:p>
    <w:p>
      <w:pPr>
        <w:spacing w:before="120"/>
        <w:ind w:firstLine="643"/>
        <w:rPr>
          <w:bCs/>
        </w:rPr>
      </w:pPr>
      <w:r>
        <w:rPr>
          <w:rFonts w:hint="eastAsia"/>
          <w:b/>
        </w:rPr>
        <w:t>供给目标。</w:t>
      </w:r>
      <w:r>
        <w:rPr>
          <w:rFonts w:hint="eastAsia"/>
        </w:rPr>
        <w:t>至规划期末，柯城城区</w:t>
      </w:r>
      <w:r>
        <w:rPr>
          <w:rFonts w:hint="eastAsia"/>
          <w:bCs/>
        </w:rPr>
        <w:t>共新增供应保障性租赁住房</w:t>
      </w:r>
      <w:r>
        <w:rPr>
          <w:bCs/>
        </w:rPr>
        <w:t>5100</w:t>
      </w:r>
      <w:r>
        <w:rPr>
          <w:rFonts w:hint="eastAsia"/>
          <w:bCs/>
        </w:rPr>
        <w:t>套（间）。</w:t>
      </w:r>
      <w:r>
        <w:rPr>
          <w:rFonts w:hint="eastAsia"/>
        </w:rPr>
        <w:t>考虑服务于智造新城的华友衢州产业园自建租赁住房项目（3</w:t>
      </w:r>
      <w:r>
        <w:t>000</w:t>
      </w:r>
      <w:r>
        <w:rPr>
          <w:rFonts w:hint="eastAsia"/>
        </w:rPr>
        <w:t>套/间）选址于柯城城区内，因此柯城城区实际供应量为5</w:t>
      </w:r>
      <w:r>
        <w:t>100套</w:t>
      </w:r>
      <w:r>
        <w:rPr>
          <w:rFonts w:hint="eastAsia"/>
          <w:bCs/>
        </w:rPr>
        <w:t>（间）</w:t>
      </w:r>
      <w:r>
        <w:rPr>
          <w:rFonts w:hint="eastAsia"/>
        </w:rPr>
        <w:t>。</w:t>
      </w:r>
    </w:p>
    <w:p>
      <w:pPr>
        <w:spacing w:before="120"/>
        <w:ind w:firstLine="643"/>
      </w:pPr>
      <w:r>
        <w:rPr>
          <w:rFonts w:hint="eastAsia"/>
          <w:b/>
          <w:bCs/>
        </w:rPr>
        <w:t>供给来源与土地供应。</w:t>
      </w:r>
      <w:r>
        <w:rPr>
          <w:rFonts w:hint="eastAsia"/>
          <w:bCs/>
        </w:rPr>
        <w:t>计划筹集及意向项目共</w:t>
      </w:r>
      <w:r>
        <w:rPr>
          <w:bCs/>
        </w:rPr>
        <w:t>5998套</w:t>
      </w:r>
      <w:r>
        <w:rPr>
          <w:rFonts w:hint="eastAsia"/>
          <w:bCs/>
        </w:rPr>
        <w:t>（间），其中利用集体经营性建设用地建设</w:t>
      </w:r>
      <w:r>
        <w:rPr>
          <w:bCs/>
        </w:rPr>
        <w:t>400套（间），存量闲置房屋建设311套（间），新供应国有建设用地建设5287套（间）。</w:t>
      </w:r>
      <w:r>
        <w:rPr>
          <w:rFonts w:hint="eastAsia"/>
        </w:rPr>
        <w:t>以中心城区为重点供给保障性租赁住房，中心城区内供应</w:t>
      </w:r>
      <w:r>
        <w:t>4141套（间），外围</w:t>
      </w:r>
      <w:r>
        <w:rPr>
          <w:rFonts w:hint="eastAsia"/>
          <w:bCs/>
        </w:rPr>
        <w:t>乡镇供应</w:t>
      </w:r>
      <w:r>
        <w:rPr>
          <w:bCs/>
        </w:rPr>
        <w:t>1857套（间）。</w:t>
      </w:r>
      <w:r>
        <w:rPr>
          <w:rFonts w:hint="eastAsia"/>
          <w:bCs/>
        </w:rPr>
        <w:t>至规划期末，计划筹集及意向项目新增保障性租赁住房用地需求共</w:t>
      </w:r>
      <w:r>
        <w:rPr>
          <w:bCs/>
        </w:rPr>
        <w:t>17.6公顷</w:t>
      </w:r>
      <w:r>
        <w:rPr>
          <w:rFonts w:hint="eastAsia"/>
        </w:rPr>
        <w:t>。</w:t>
      </w:r>
    </w:p>
    <w:p>
      <w:pPr>
        <w:spacing w:before="120"/>
        <w:ind w:firstLine="643"/>
      </w:pPr>
      <w:r>
        <w:rPr>
          <w:rFonts w:hint="eastAsia"/>
          <w:b/>
        </w:rPr>
        <w:t>供给指引。</w:t>
      </w:r>
      <w:r>
        <w:rPr>
          <w:rFonts w:hint="eastAsia"/>
        </w:rPr>
        <w:t>保障性租赁住房供应与就业人口需求相协同。结合复兴历史街区、活化利用遗存等方式，增加</w:t>
      </w:r>
      <w:r>
        <w:rPr>
          <w:rFonts w:hint="eastAsia"/>
          <w:bCs/>
        </w:rPr>
        <w:t>独具文化特色的保障性租赁住房供给。</w:t>
      </w:r>
      <w:r>
        <w:rPr>
          <w:rFonts w:hint="eastAsia"/>
        </w:rPr>
        <w:t>支持集体</w:t>
      </w:r>
      <w:r>
        <w:t>经营性建设用地用于保障性租赁住房供给</w:t>
      </w:r>
      <w:r>
        <w:rPr>
          <w:rFonts w:hint="eastAsia"/>
        </w:rPr>
        <w:t>，在尊重农民集体意愿的基础上，积极引导，拓展保障性租赁住房供给的方式。进一步挖掘存量商办改造潜力，统筹改造意愿，就近供应保障性租赁住房。结合重点企业需求，优先在新供应国有建设用地中安排保障性租赁住房用地。位于柯城城区范围内的华友衢州产业园自建租赁住房项目，约3</w:t>
      </w:r>
      <w:r>
        <w:t>000套</w:t>
      </w:r>
      <w:r>
        <w:rPr>
          <w:rFonts w:hint="eastAsia"/>
        </w:rPr>
        <w:t>（间），可分2</w:t>
      </w:r>
      <w:r>
        <w:t>023年</w:t>
      </w:r>
      <w:r>
        <w:rPr>
          <w:rFonts w:hint="eastAsia"/>
        </w:rPr>
        <w:t>、2</w:t>
      </w:r>
      <w:r>
        <w:t>024年</w:t>
      </w:r>
      <w:r>
        <w:rPr>
          <w:rFonts w:hint="eastAsia"/>
        </w:rPr>
        <w:t>、2</w:t>
      </w:r>
      <w:r>
        <w:t>025年三年</w:t>
      </w:r>
      <w:r>
        <w:rPr>
          <w:rFonts w:hint="eastAsia"/>
        </w:rPr>
        <w:t>有序</w:t>
      </w:r>
      <w:r>
        <w:t>供应</w:t>
      </w:r>
      <w:r>
        <w:rPr>
          <w:rFonts w:hint="eastAsia"/>
        </w:rPr>
        <w:t>。</w:t>
      </w:r>
    </w:p>
    <w:p>
      <w:pPr>
        <w:pStyle w:val="3"/>
        <w:spacing w:before="120"/>
      </w:pPr>
      <w:bookmarkStart w:id="91" w:name="_Toc98246823"/>
      <w:bookmarkStart w:id="92" w:name="_Toc101686478"/>
      <w:r>
        <w:rPr>
          <w:rFonts w:hint="eastAsia"/>
        </w:rPr>
        <w:t>（三）</w:t>
      </w:r>
      <w:r>
        <w:t>衢江</w:t>
      </w:r>
      <w:r>
        <w:rPr>
          <w:rFonts w:hint="eastAsia"/>
        </w:rPr>
        <w:t>城</w:t>
      </w:r>
      <w:r>
        <w:t>区</w:t>
      </w:r>
      <w:bookmarkEnd w:id="91"/>
      <w:r>
        <w:t>分区指引</w:t>
      </w:r>
      <w:bookmarkEnd w:id="92"/>
    </w:p>
    <w:p>
      <w:pPr>
        <w:spacing w:before="120"/>
        <w:ind w:firstLine="643"/>
      </w:pPr>
      <w:r>
        <w:rPr>
          <w:b/>
        </w:rPr>
        <w:t>总体特征</w:t>
      </w:r>
      <w:r>
        <w:rPr>
          <w:rFonts w:hint="eastAsia"/>
          <w:b/>
        </w:rPr>
        <w:t>。</w:t>
      </w:r>
      <w:r>
        <w:rPr>
          <w:rFonts w:hint="eastAsia"/>
        </w:rPr>
        <w:t>衢江城区是未来城市发展重要的拓展区域，以空港新城、江北高教园区为拓展重点，培育综合枢纽、智慧物流、科技创新等新功能，就业空间广泛。</w:t>
      </w:r>
    </w:p>
    <w:p>
      <w:pPr>
        <w:spacing w:before="120"/>
        <w:ind w:firstLine="643"/>
      </w:pPr>
      <w:r>
        <w:rPr>
          <w:b/>
        </w:rPr>
        <w:t>需求总量</w:t>
      </w:r>
      <w:r>
        <w:rPr>
          <w:rFonts w:hint="eastAsia"/>
          <w:b/>
        </w:rPr>
        <w:t>。</w:t>
      </w:r>
      <w:r>
        <w:rPr>
          <w:rFonts w:hint="eastAsia"/>
        </w:rPr>
        <w:t>至规划期末，衢江城区保障性租赁住房需求预测量为</w:t>
      </w:r>
      <w:r>
        <w:t>1100套</w:t>
      </w:r>
      <w:r>
        <w:rPr>
          <w:rFonts w:hint="eastAsia"/>
          <w:bCs/>
        </w:rPr>
        <w:t>（间）</w:t>
      </w:r>
      <w:r>
        <w:rPr>
          <w:rFonts w:hint="eastAsia"/>
        </w:rPr>
        <w:t>。</w:t>
      </w:r>
    </w:p>
    <w:p>
      <w:pPr>
        <w:spacing w:before="120"/>
        <w:ind w:firstLine="643"/>
        <w:rPr>
          <w:bCs/>
        </w:rPr>
      </w:pPr>
      <w:r>
        <w:rPr>
          <w:rFonts w:hint="eastAsia"/>
          <w:b/>
        </w:rPr>
        <w:t>供给目标。</w:t>
      </w:r>
      <w:r>
        <w:rPr>
          <w:rFonts w:hint="eastAsia"/>
        </w:rPr>
        <w:t>至规划期末，衢江城区</w:t>
      </w:r>
      <w:r>
        <w:rPr>
          <w:rFonts w:hint="eastAsia"/>
          <w:bCs/>
        </w:rPr>
        <w:t>共新增供应保障性租赁住房</w:t>
      </w:r>
      <w:r>
        <w:rPr>
          <w:bCs/>
        </w:rPr>
        <w:t>1100套（间）。</w:t>
      </w:r>
    </w:p>
    <w:p>
      <w:pPr>
        <w:spacing w:before="120"/>
        <w:ind w:firstLine="643"/>
        <w:rPr>
          <w:bCs/>
        </w:rPr>
      </w:pPr>
      <w:r>
        <w:rPr>
          <w:rFonts w:hint="eastAsia"/>
          <w:b/>
          <w:bCs/>
        </w:rPr>
        <w:t>供给来源与土地供应。</w:t>
      </w:r>
      <w:r>
        <w:rPr>
          <w:rFonts w:hint="eastAsia"/>
          <w:bCs/>
        </w:rPr>
        <w:t>计划筹集及意向项目共</w:t>
      </w:r>
      <w:r>
        <w:rPr>
          <w:bCs/>
        </w:rPr>
        <w:t>915套</w:t>
      </w:r>
      <w:r>
        <w:rPr>
          <w:rFonts w:hint="eastAsia"/>
          <w:bCs/>
        </w:rPr>
        <w:t>（间），均为新供应国有建设用地建设。未来需要</w:t>
      </w:r>
      <w:r>
        <w:rPr>
          <w:rFonts w:hint="eastAsia"/>
        </w:rPr>
        <w:t>积极利用存量改造、人才公寓建设、拆迁安置房改造配建等潜力补充供应</w:t>
      </w:r>
      <w:r>
        <w:rPr>
          <w:bCs/>
        </w:rPr>
        <w:t>185套</w:t>
      </w:r>
      <w:r>
        <w:rPr>
          <w:rFonts w:hint="eastAsia"/>
          <w:bCs/>
        </w:rPr>
        <w:t>（间）</w:t>
      </w:r>
      <w:r>
        <w:rPr>
          <w:rFonts w:hint="eastAsia"/>
        </w:rPr>
        <w:t>。</w:t>
      </w:r>
      <w:r>
        <w:rPr>
          <w:rFonts w:hint="eastAsia"/>
          <w:bCs/>
        </w:rPr>
        <w:t>至规划期末，计划筹集及意向项目新增保障性租赁住房用地需求共</w:t>
      </w:r>
      <w:r>
        <w:rPr>
          <w:bCs/>
        </w:rPr>
        <w:t>3</w:t>
      </w:r>
      <w:r>
        <w:rPr>
          <w:rFonts w:hint="eastAsia"/>
          <w:bCs/>
        </w:rPr>
        <w:t>.7</w:t>
      </w:r>
      <w:r>
        <w:rPr>
          <w:bCs/>
        </w:rPr>
        <w:t>公</w:t>
      </w:r>
      <w:r>
        <w:rPr>
          <w:rFonts w:hint="eastAsia"/>
        </w:rPr>
        <w:t>顷。</w:t>
      </w:r>
    </w:p>
    <w:p>
      <w:pPr>
        <w:spacing w:before="120"/>
        <w:ind w:firstLine="643"/>
      </w:pPr>
      <w:r>
        <w:rPr>
          <w:rFonts w:hint="eastAsia"/>
          <w:b/>
        </w:rPr>
        <w:t>供给指引。</w:t>
      </w:r>
      <w:r>
        <w:rPr>
          <w:rFonts w:hint="eastAsia"/>
        </w:rPr>
        <w:t>结合衢江城东片区、空港新城、江北新城等产业发展及人才就业重点区域，通过新增租赁住房用地、</w:t>
      </w:r>
      <w:r>
        <w:rPr>
          <w:rFonts w:hint="eastAsia"/>
          <w:bCs/>
        </w:rPr>
        <w:t>新建住宅用地配建等方式增加保障性租赁住房供应，保障单元内部职住平衡。</w:t>
      </w:r>
    </w:p>
    <w:p>
      <w:pPr>
        <w:pStyle w:val="3"/>
        <w:spacing w:before="120"/>
      </w:pPr>
      <w:bookmarkStart w:id="93" w:name="_Toc98246824"/>
      <w:bookmarkStart w:id="94" w:name="_Toc101686479"/>
      <w:r>
        <w:rPr>
          <w:rFonts w:hint="eastAsia"/>
        </w:rPr>
        <w:t>（四）</w:t>
      </w:r>
      <w:r>
        <w:t>智慧新城</w:t>
      </w:r>
      <w:bookmarkEnd w:id="93"/>
      <w:r>
        <w:t>分区指引</w:t>
      </w:r>
      <w:bookmarkEnd w:id="94"/>
    </w:p>
    <w:p>
      <w:pPr>
        <w:spacing w:before="120"/>
        <w:ind w:firstLine="643"/>
        <w:rPr>
          <w:b/>
        </w:rPr>
      </w:pPr>
      <w:r>
        <w:rPr>
          <w:rFonts w:hint="eastAsia"/>
          <w:b/>
        </w:rPr>
        <w:t>总体特征。</w:t>
      </w:r>
      <w:r>
        <w:rPr>
          <w:rFonts w:hint="eastAsia"/>
        </w:rPr>
        <w:t>智慧新城是衢州市区发展的重点区域，融合了高铁枢纽、行政文化、科技创新、智慧人居等多种核心功能，旨在打造“智慧衢州引领区、智慧产业创新人才集聚区、新兴城市化标杆区”，未来就业人口尤其是高素质人才潜力巨大。</w:t>
      </w:r>
    </w:p>
    <w:p>
      <w:pPr>
        <w:spacing w:before="120"/>
        <w:ind w:firstLine="643"/>
      </w:pPr>
      <w:r>
        <w:rPr>
          <w:b/>
        </w:rPr>
        <w:t>需求总量</w:t>
      </w:r>
      <w:r>
        <w:rPr>
          <w:rFonts w:hint="eastAsia"/>
          <w:b/>
        </w:rPr>
        <w:t>。</w:t>
      </w:r>
      <w:r>
        <w:rPr>
          <w:rFonts w:hint="eastAsia"/>
        </w:rPr>
        <w:t>至规划期末，智慧新城保障性租赁住房需求预测量为</w:t>
      </w:r>
      <w:r>
        <w:t>2100套</w:t>
      </w:r>
      <w:r>
        <w:rPr>
          <w:rFonts w:hint="eastAsia"/>
          <w:bCs/>
        </w:rPr>
        <w:t>（间）</w:t>
      </w:r>
      <w:r>
        <w:rPr>
          <w:rFonts w:hint="eastAsia"/>
        </w:rPr>
        <w:t xml:space="preserve">。 </w:t>
      </w:r>
    </w:p>
    <w:p>
      <w:pPr>
        <w:spacing w:before="120"/>
        <w:ind w:firstLine="643"/>
        <w:rPr>
          <w:bCs/>
        </w:rPr>
      </w:pPr>
      <w:r>
        <w:rPr>
          <w:rFonts w:hint="eastAsia"/>
          <w:b/>
        </w:rPr>
        <w:t>供给目标。</w:t>
      </w:r>
      <w:r>
        <w:rPr>
          <w:rFonts w:hint="eastAsia"/>
        </w:rPr>
        <w:t>至规划期末，智慧新城</w:t>
      </w:r>
      <w:r>
        <w:rPr>
          <w:rFonts w:hint="eastAsia"/>
          <w:bCs/>
        </w:rPr>
        <w:t>共新增供应保障性租赁住房</w:t>
      </w:r>
      <w:r>
        <w:rPr>
          <w:bCs/>
        </w:rPr>
        <w:t>2100</w:t>
      </w:r>
      <w:r>
        <w:rPr>
          <w:rFonts w:hint="eastAsia"/>
          <w:bCs/>
        </w:rPr>
        <w:t>套（间）。</w:t>
      </w:r>
    </w:p>
    <w:p>
      <w:pPr>
        <w:spacing w:before="120"/>
        <w:ind w:firstLine="643"/>
      </w:pPr>
      <w:r>
        <w:rPr>
          <w:rFonts w:hint="eastAsia"/>
          <w:b/>
          <w:bCs/>
        </w:rPr>
        <w:t>供给来源与土地供应。</w:t>
      </w:r>
      <w:r>
        <w:rPr>
          <w:rFonts w:hint="eastAsia"/>
          <w:bCs/>
        </w:rPr>
        <w:t>计划筹集及意向项目共</w:t>
      </w:r>
      <w:r>
        <w:rPr>
          <w:bCs/>
        </w:rPr>
        <w:t>3457套</w:t>
      </w:r>
      <w:r>
        <w:rPr>
          <w:rFonts w:hint="eastAsia"/>
          <w:bCs/>
        </w:rPr>
        <w:t>（间），其中利用存量闲置房屋建设</w:t>
      </w:r>
      <w:r>
        <w:rPr>
          <w:bCs/>
        </w:rPr>
        <w:t>667间，新供应国有建设用地建设2790套（间）。</w:t>
      </w:r>
      <w:r>
        <w:rPr>
          <w:rFonts w:hint="eastAsia"/>
          <w:bCs/>
        </w:rPr>
        <w:t>至规划期末，计划筹集及意向项目新增保障性租赁住房用地需求共</w:t>
      </w:r>
      <w:r>
        <w:rPr>
          <w:bCs/>
        </w:rPr>
        <w:t>9.3公</w:t>
      </w:r>
      <w:r>
        <w:rPr>
          <w:rFonts w:hint="eastAsia"/>
        </w:rPr>
        <w:t>顷。</w:t>
      </w:r>
    </w:p>
    <w:p>
      <w:pPr>
        <w:spacing w:before="120"/>
        <w:ind w:firstLine="643"/>
      </w:pPr>
      <w:r>
        <w:rPr>
          <w:rFonts w:hint="eastAsia"/>
          <w:b/>
        </w:rPr>
        <w:t>供给指引。</w:t>
      </w:r>
      <w:r>
        <w:rPr>
          <w:rFonts w:hint="eastAsia"/>
        </w:rPr>
        <w:t>围绕西区组团、高铁新城、百家塘片区等区域加强保障性租赁住房的供应，通过新增租赁住房用地、</w:t>
      </w:r>
      <w:r>
        <w:rPr>
          <w:rFonts w:hint="eastAsia"/>
          <w:bCs/>
        </w:rPr>
        <w:t>新建住宅用地配建等方式，</w:t>
      </w:r>
      <w:r>
        <w:rPr>
          <w:rFonts w:hint="eastAsia"/>
        </w:rPr>
        <w:t>实现新拓展区域保障性租赁住房供应与产业发展相协同。结合市政府人才公寓、</w:t>
      </w:r>
      <w:r>
        <w:t>高等院校等企事业单位公寓建设需求</w:t>
      </w:r>
      <w:r>
        <w:rPr>
          <w:rFonts w:hint="eastAsia"/>
        </w:rPr>
        <w:t>，</w:t>
      </w:r>
      <w:r>
        <w:t>建设保障性租赁住房</w:t>
      </w:r>
      <w:r>
        <w:rPr>
          <w:rFonts w:hint="eastAsia"/>
        </w:rPr>
        <w:t>，其中姚家青年人才社区项目，约2</w:t>
      </w:r>
      <w:r>
        <w:t>000套</w:t>
      </w:r>
      <w:r>
        <w:rPr>
          <w:rFonts w:hint="eastAsia"/>
        </w:rPr>
        <w:t>（间），</w:t>
      </w:r>
      <w:r>
        <w:t>可</w:t>
      </w:r>
      <w:r>
        <w:rPr>
          <w:rFonts w:hint="eastAsia"/>
        </w:rPr>
        <w:t>分2</w:t>
      </w:r>
      <w:r>
        <w:t>024年</w:t>
      </w:r>
      <w:r>
        <w:rPr>
          <w:rFonts w:hint="eastAsia"/>
        </w:rPr>
        <w:t>、2</w:t>
      </w:r>
      <w:r>
        <w:t>025年两年有序供应</w:t>
      </w:r>
      <w:r>
        <w:rPr>
          <w:rFonts w:hint="eastAsia"/>
        </w:rPr>
        <w:t>。</w:t>
      </w:r>
    </w:p>
    <w:p>
      <w:pPr>
        <w:pStyle w:val="3"/>
        <w:spacing w:before="120"/>
      </w:pPr>
      <w:bookmarkStart w:id="95" w:name="_Toc98246825"/>
      <w:bookmarkStart w:id="96" w:name="_Toc101686480"/>
      <w:r>
        <w:rPr>
          <w:rFonts w:hint="eastAsia"/>
        </w:rPr>
        <w:t>（五）</w:t>
      </w:r>
      <w:r>
        <w:t>智造新城</w:t>
      </w:r>
      <w:bookmarkEnd w:id="95"/>
      <w:r>
        <w:t>分区指引</w:t>
      </w:r>
      <w:bookmarkEnd w:id="96"/>
    </w:p>
    <w:p>
      <w:pPr>
        <w:spacing w:before="120"/>
        <w:ind w:firstLine="643"/>
      </w:pPr>
      <w:r>
        <w:rPr>
          <w:rFonts w:hint="eastAsia"/>
          <w:b/>
        </w:rPr>
        <w:t>总体特征。</w:t>
      </w:r>
      <w:r>
        <w:rPr>
          <w:rFonts w:hint="eastAsia"/>
        </w:rPr>
        <w:t>智造新城是衢州市产业发展的主平台，旨在通过园区升级改造，形成功能布局合理、产城融合发展的创新型产业园区。与产业发展同步，智造新城就业人口增长潜力较大，相关生活配套仍需完进一步善。</w:t>
      </w:r>
    </w:p>
    <w:p>
      <w:pPr>
        <w:spacing w:before="120"/>
        <w:ind w:firstLine="643"/>
      </w:pPr>
      <w:r>
        <w:rPr>
          <w:b/>
        </w:rPr>
        <w:t>需求总量</w:t>
      </w:r>
      <w:r>
        <w:rPr>
          <w:rFonts w:hint="eastAsia"/>
          <w:b/>
        </w:rPr>
        <w:t>。</w:t>
      </w:r>
      <w:r>
        <w:rPr>
          <w:rFonts w:hint="eastAsia"/>
        </w:rPr>
        <w:t>至规划期末，智造新城保障性租赁住房需求预测量为</w:t>
      </w:r>
      <w:r>
        <w:t>4700套</w:t>
      </w:r>
      <w:r>
        <w:rPr>
          <w:rFonts w:hint="eastAsia"/>
          <w:bCs/>
        </w:rPr>
        <w:t>（间）</w:t>
      </w:r>
      <w:r>
        <w:rPr>
          <w:rFonts w:hint="eastAsia"/>
        </w:rPr>
        <w:t>。</w:t>
      </w:r>
    </w:p>
    <w:p>
      <w:pPr>
        <w:spacing w:before="120"/>
        <w:ind w:firstLine="643"/>
        <w:rPr>
          <w:bCs/>
        </w:rPr>
      </w:pPr>
      <w:r>
        <w:rPr>
          <w:rFonts w:hint="eastAsia"/>
          <w:b/>
        </w:rPr>
        <w:t>供给目标。</w:t>
      </w:r>
      <w:r>
        <w:rPr>
          <w:rFonts w:hint="eastAsia"/>
        </w:rPr>
        <w:t>至规划期末，智造新城</w:t>
      </w:r>
      <w:r>
        <w:rPr>
          <w:rFonts w:hint="eastAsia"/>
          <w:bCs/>
        </w:rPr>
        <w:t>共新增供应保障性租赁住房</w:t>
      </w:r>
      <w:r>
        <w:rPr>
          <w:bCs/>
        </w:rPr>
        <w:t>1700</w:t>
      </w:r>
      <w:r>
        <w:rPr>
          <w:rFonts w:hint="eastAsia"/>
          <w:bCs/>
        </w:rPr>
        <w:t>套（间）。</w:t>
      </w:r>
      <w:r>
        <w:rPr>
          <w:rFonts w:hint="eastAsia"/>
        </w:rPr>
        <w:t>考虑服务于智造新城的华友衢州产业园自建租赁住房项目，约3</w:t>
      </w:r>
      <w:r>
        <w:t>000套</w:t>
      </w:r>
      <w:r>
        <w:rPr>
          <w:rFonts w:hint="eastAsia"/>
        </w:rPr>
        <w:t>（间）选址于柯城城区内，因此智造新城实际供应量为</w:t>
      </w:r>
      <w:r>
        <w:t>1700套</w:t>
      </w:r>
      <w:r>
        <w:rPr>
          <w:rFonts w:hint="eastAsia"/>
          <w:bCs/>
        </w:rPr>
        <w:t>（间）</w:t>
      </w:r>
      <w:r>
        <w:rPr>
          <w:rFonts w:hint="eastAsia"/>
        </w:rPr>
        <w:t>。</w:t>
      </w:r>
    </w:p>
    <w:p>
      <w:pPr>
        <w:spacing w:before="120"/>
        <w:ind w:firstLine="643"/>
        <w:rPr>
          <w:bCs/>
        </w:rPr>
      </w:pPr>
      <w:r>
        <w:rPr>
          <w:rFonts w:hint="eastAsia"/>
          <w:b/>
          <w:bCs/>
        </w:rPr>
        <w:t>供给来源与土地供应。</w:t>
      </w:r>
      <w:r>
        <w:rPr>
          <w:rFonts w:hint="eastAsia"/>
          <w:bCs/>
        </w:rPr>
        <w:t>计划筹集及意向项目共</w:t>
      </w:r>
      <w:r>
        <w:rPr>
          <w:bCs/>
        </w:rPr>
        <w:t>1993套</w:t>
      </w:r>
      <w:r>
        <w:rPr>
          <w:rFonts w:hint="eastAsia"/>
          <w:bCs/>
        </w:rPr>
        <w:t>（间），其中利用产业园区配套用地建设</w:t>
      </w:r>
      <w:r>
        <w:rPr>
          <w:bCs/>
        </w:rPr>
        <w:t>339间，利用新供应国有建设用地建设1654套（间）。</w:t>
      </w:r>
      <w:r>
        <w:rPr>
          <w:rFonts w:hint="eastAsia"/>
          <w:bCs/>
        </w:rPr>
        <w:t>至规划期末，计划筹集及意向项目新增保障性租赁住房用地需求共</w:t>
      </w:r>
      <w:r>
        <w:rPr>
          <w:bCs/>
        </w:rPr>
        <w:t>5.5公顷</w:t>
      </w:r>
      <w:r>
        <w:rPr>
          <w:rFonts w:hint="eastAsia"/>
        </w:rPr>
        <w:t>。</w:t>
      </w:r>
    </w:p>
    <w:p>
      <w:pPr>
        <w:spacing w:before="120"/>
        <w:ind w:firstLine="643"/>
      </w:pPr>
      <w:r>
        <w:rPr>
          <w:rFonts w:hint="eastAsia"/>
          <w:b/>
        </w:rPr>
        <w:t>供给指引。</w:t>
      </w:r>
      <w:r>
        <w:rPr>
          <w:rFonts w:hint="eastAsia"/>
        </w:rPr>
        <w:t>鼓励东港片区、白沙片区有条件的产业园区用地充分利用工业用地配建政策，由企业自行配建保障性租赁住房，满足企业新就业员工需求。针对需求规模较大的企业，由企业申请自建住房，市政府统筹，有计划地推进新供应国有建设用地用于保障性租赁住房的建设。针对园区小微企业的实际需求，建议园区统筹建设保障性租赁住房，秉持就近选址原则，其中东港片区充分利用存量安置房统筹解决，高新片区建议在柯城城区的双西港片区、巨化片区统筹解决。</w:t>
      </w:r>
    </w:p>
    <w:p>
      <w:pPr>
        <w:spacing w:before="120"/>
        <w:ind w:firstLine="0" w:firstLineChars="0"/>
      </w:pPr>
    </w:p>
    <w:p>
      <w:pPr>
        <w:pStyle w:val="3"/>
        <w:spacing w:before="120"/>
        <w:ind w:firstLine="0" w:firstLineChars="0"/>
      </w:pPr>
      <w:bookmarkStart w:id="97" w:name="_Toc101686481"/>
      <w:r>
        <w:rPr>
          <w:rFonts w:hint="eastAsia"/>
        </w:rPr>
        <w:t>六、</w:t>
      </w:r>
      <w:r>
        <w:t>2022年-2024年三年行动计划</w:t>
      </w:r>
      <w:bookmarkEnd w:id="97"/>
    </w:p>
    <w:p>
      <w:pPr>
        <w:spacing w:before="120"/>
        <w:rPr>
          <w:bCs/>
        </w:rPr>
      </w:pPr>
      <w:r>
        <w:rPr>
          <w:rFonts w:hint="eastAsia"/>
          <w:bCs/>
        </w:rPr>
        <w:t>立足衢州市区的发展现状、需求及趋势，遵循“稳步推进、有序推进”思路，结合已有明确供给计划项目的落地实施情况及相关部门对保障性租赁住房的土地、资金等安排计划，</w:t>
      </w:r>
      <w:r>
        <w:rPr>
          <w:bCs/>
        </w:rPr>
        <w:t>确定</w:t>
      </w:r>
      <w:r>
        <w:rPr>
          <w:rFonts w:hint="eastAsia"/>
          <w:bCs/>
        </w:rPr>
        <w:t>“十四五”期间供给</w:t>
      </w:r>
      <w:r>
        <w:rPr>
          <w:bCs/>
        </w:rPr>
        <w:t>时序及任务安排</w:t>
      </w:r>
      <w:r>
        <w:rPr>
          <w:rFonts w:hint="eastAsia"/>
          <w:bCs/>
        </w:rPr>
        <w:t>。“十四五”期间供给总任务为</w:t>
      </w:r>
      <w:r>
        <w:rPr>
          <w:bCs/>
        </w:rPr>
        <w:t>10000套</w:t>
      </w:r>
      <w:r>
        <w:rPr>
          <w:rFonts w:hint="eastAsia"/>
          <w:bCs/>
        </w:rPr>
        <w:t>，目前已建成</w:t>
      </w:r>
      <w:r>
        <w:rPr>
          <w:bCs/>
        </w:rPr>
        <w:t>1010套</w:t>
      </w:r>
      <w:r>
        <w:rPr>
          <w:rFonts w:hint="eastAsia"/>
          <w:bCs/>
        </w:rPr>
        <w:t>（间），</w:t>
      </w:r>
      <w:r>
        <w:t>2022</w:t>
      </w:r>
      <w:r>
        <w:rPr>
          <w:rFonts w:hint="eastAsia"/>
        </w:rPr>
        <w:t>-</w:t>
      </w:r>
      <w:r>
        <w:t>2024年</w:t>
      </w:r>
      <w:r>
        <w:rPr>
          <w:rFonts w:hint="eastAsia"/>
        </w:rPr>
        <w:t>三年行动计划期间</w:t>
      </w:r>
      <w:r>
        <w:t>共筹集保障性租赁住房</w:t>
      </w:r>
      <w:r>
        <w:rPr>
          <w:rFonts w:hint="eastAsia"/>
        </w:rPr>
        <w:t>81</w:t>
      </w:r>
      <w:r>
        <w:t>64套（间）</w:t>
      </w:r>
      <w:r>
        <w:rPr>
          <w:rFonts w:hint="eastAsia"/>
        </w:rPr>
        <w:t>。其中</w:t>
      </w:r>
      <w:r>
        <w:rPr>
          <w:bCs/>
        </w:rPr>
        <w:t>2022年已明确建设</w:t>
      </w:r>
      <w:r>
        <w:rPr>
          <w:rFonts w:hint="eastAsia"/>
          <w:bCs/>
        </w:rPr>
        <w:t>筹集</w:t>
      </w:r>
      <w:r>
        <w:rPr>
          <w:bCs/>
        </w:rPr>
        <w:t>任务3364套</w:t>
      </w:r>
      <w:r>
        <w:rPr>
          <w:rFonts w:hint="eastAsia"/>
          <w:bCs/>
        </w:rPr>
        <w:t>（间）</w:t>
      </w:r>
      <w:r>
        <w:rPr>
          <w:bCs/>
        </w:rPr>
        <w:t>，基于此</w:t>
      </w:r>
      <w:r>
        <w:rPr>
          <w:rFonts w:hint="eastAsia"/>
          <w:bCs/>
        </w:rPr>
        <w:t>，</w:t>
      </w:r>
      <w:r>
        <w:rPr>
          <w:bCs/>
        </w:rPr>
        <w:t>确定2023年</w:t>
      </w:r>
      <w:r>
        <w:rPr>
          <w:rFonts w:hint="eastAsia"/>
          <w:bCs/>
        </w:rPr>
        <w:t>建设筹集</w:t>
      </w:r>
      <w:r>
        <w:rPr>
          <w:bCs/>
        </w:rPr>
        <w:t>任务为2800套</w:t>
      </w:r>
      <w:r>
        <w:rPr>
          <w:rFonts w:hint="eastAsia"/>
          <w:bCs/>
        </w:rPr>
        <w:t>（间），</w:t>
      </w:r>
      <w:r>
        <w:rPr>
          <w:bCs/>
        </w:rPr>
        <w:t>2024年</w:t>
      </w:r>
      <w:r>
        <w:rPr>
          <w:rFonts w:hint="eastAsia"/>
          <w:bCs/>
        </w:rPr>
        <w:t>建设筹集</w:t>
      </w:r>
      <w:r>
        <w:rPr>
          <w:bCs/>
        </w:rPr>
        <w:t>任务为2000套</w:t>
      </w:r>
      <w:r>
        <w:rPr>
          <w:rFonts w:hint="eastAsia"/>
          <w:bCs/>
        </w:rPr>
        <w:t>（间）</w:t>
      </w:r>
      <w:r>
        <w:rPr>
          <w:bCs/>
        </w:rPr>
        <w:t>，2025年</w:t>
      </w:r>
      <w:r>
        <w:rPr>
          <w:rFonts w:hint="eastAsia"/>
          <w:bCs/>
        </w:rPr>
        <w:t>建设筹集</w:t>
      </w:r>
      <w:r>
        <w:rPr>
          <w:bCs/>
        </w:rPr>
        <w:t>任务为826套</w:t>
      </w:r>
      <w:r>
        <w:rPr>
          <w:rFonts w:hint="eastAsia"/>
          <w:bCs/>
        </w:rPr>
        <w:t>（间）</w:t>
      </w:r>
      <w:r>
        <w:rPr>
          <w:bCs/>
        </w:rPr>
        <w:t>。</w:t>
      </w:r>
    </w:p>
    <w:p>
      <w:pPr>
        <w:spacing w:before="120"/>
        <w:rPr>
          <w:bCs/>
        </w:rPr>
      </w:pPr>
      <w:r>
        <w:rPr>
          <w:rFonts w:hint="eastAsia"/>
          <w:bCs/>
        </w:rPr>
        <w:t>统筹已明确计划筹集项目、意向项目等信息，明确</w:t>
      </w:r>
      <w:r>
        <w:rPr>
          <w:bCs/>
        </w:rPr>
        <w:t>2022-2024年三年行动计划。其中2022年项目为计划筹集项目，2023年、2024年为意向项目及储备项目</w:t>
      </w:r>
      <w:r>
        <w:rPr>
          <w:rFonts w:hint="eastAsia"/>
          <w:bCs/>
        </w:rPr>
        <w:t>（见附表</w:t>
      </w:r>
      <w:r>
        <w:rPr>
          <w:bCs/>
        </w:rPr>
        <w:t>2</w:t>
      </w:r>
      <w:r>
        <w:rPr>
          <w:rFonts w:hint="eastAsia"/>
          <w:bCs/>
        </w:rPr>
        <w:t>、</w:t>
      </w:r>
      <w:r>
        <w:rPr>
          <w:bCs/>
        </w:rPr>
        <w:t>3</w:t>
      </w:r>
      <w:r>
        <w:rPr>
          <w:rFonts w:hint="eastAsia"/>
          <w:bCs/>
        </w:rPr>
        <w:t>、</w:t>
      </w:r>
      <w:r>
        <w:rPr>
          <w:bCs/>
        </w:rPr>
        <w:t>4</w:t>
      </w:r>
      <w:r>
        <w:rPr>
          <w:rFonts w:hint="eastAsia"/>
          <w:bCs/>
        </w:rPr>
        <w:t>）</w:t>
      </w:r>
      <w:r>
        <w:rPr>
          <w:bCs/>
        </w:rPr>
        <w:t>。未来可根据分区上报情况</w:t>
      </w:r>
      <w:r>
        <w:rPr>
          <w:rFonts w:hint="eastAsia"/>
          <w:bCs/>
        </w:rPr>
        <w:t>、</w:t>
      </w:r>
      <w:r>
        <w:rPr>
          <w:bCs/>
        </w:rPr>
        <w:t>现有建设进度</w:t>
      </w:r>
      <w:r>
        <w:rPr>
          <w:rFonts w:hint="eastAsia"/>
          <w:bCs/>
        </w:rPr>
        <w:t>及就业需求分布情况，</w:t>
      </w:r>
      <w:r>
        <w:rPr>
          <w:bCs/>
        </w:rPr>
        <w:t>对潜力项目进行筛选</w:t>
      </w:r>
      <w:r>
        <w:rPr>
          <w:rFonts w:hint="eastAsia"/>
          <w:bCs/>
        </w:rPr>
        <w:t>，优先挖潜存量空间，重点考虑空间区位及职住平衡要求，</w:t>
      </w:r>
      <w:r>
        <w:rPr>
          <w:bCs/>
        </w:rPr>
        <w:t>综合调整确定实际建设项目与纳入保障性租赁住房的年度计划</w:t>
      </w:r>
      <w:r>
        <w:rPr>
          <w:rFonts w:hint="eastAsia"/>
          <w:bCs/>
        </w:rPr>
        <w:t>，包括</w:t>
      </w:r>
      <w:r>
        <w:rPr>
          <w:bCs/>
        </w:rPr>
        <w:t>年度之间任务分配及分区之间任务微调等，弹性、合理引导保障性租赁住房有序供给。</w:t>
      </w:r>
    </w:p>
    <w:p>
      <w:pPr>
        <w:pStyle w:val="3"/>
        <w:spacing w:before="120"/>
        <w:ind w:left="720" w:firstLine="0" w:firstLineChars="0"/>
      </w:pPr>
      <w:bookmarkStart w:id="98" w:name="_Toc101686482"/>
      <w:bookmarkStart w:id="99" w:name="_Toc98246827"/>
      <w:r>
        <w:rPr>
          <w:rFonts w:hint="eastAsia"/>
        </w:rPr>
        <w:t>（一</w:t>
      </w:r>
      <w:r>
        <w:t>）2022</w:t>
      </w:r>
      <w:r>
        <w:rPr>
          <w:rFonts w:hint="eastAsia"/>
        </w:rPr>
        <w:t>年行动计划</w:t>
      </w:r>
      <w:bookmarkEnd w:id="98"/>
      <w:bookmarkEnd w:id="99"/>
    </w:p>
    <w:p>
      <w:pPr>
        <w:spacing w:before="120"/>
        <w:ind w:firstLine="643" w:firstLineChars="0"/>
      </w:pPr>
      <w:r>
        <w:rPr>
          <w:rFonts w:hint="eastAsia"/>
          <w:b/>
          <w:bCs/>
        </w:rPr>
        <w:t>重点任务。</w:t>
      </w:r>
      <w:r>
        <w:rPr>
          <w:rFonts w:hint="eastAsia"/>
        </w:rPr>
        <w:t>推动《衢州市人民政府办公室关于加快发展市区保障性租赁住房的通知》和《市区保障性租赁住房项目新（改）建操作细则》的有效实施，完善项目准入、建设标准、租金管控、税费减免、金融支持等各项配套政策。完成符合政策要求的存量租赁住房纳入保障性租赁住房管理的认定工作。批准并公布实施《衢州市区保障性租赁住房“十四五”专项规划及</w:t>
      </w:r>
      <w:r>
        <w:t>2022年-2024年三年行动计划》，明确重点项目，启动一批示范项目。初步建成保障性租赁住房管理服务平台。新增供应保障性租赁住房</w:t>
      </w:r>
      <w:r>
        <w:rPr>
          <w:rFonts w:hint="eastAsia"/>
        </w:rPr>
        <w:t>3</w:t>
      </w:r>
      <w:r>
        <w:t>364套</w:t>
      </w:r>
      <w:r>
        <w:rPr>
          <w:rFonts w:hint="eastAsia"/>
        </w:rPr>
        <w:t>（间）。</w:t>
      </w:r>
    </w:p>
    <w:p>
      <w:pPr>
        <w:spacing w:before="120"/>
        <w:ind w:firstLine="643" w:firstLineChars="0"/>
      </w:pPr>
      <w:r>
        <w:rPr>
          <w:rFonts w:hint="eastAsia"/>
          <w:b/>
          <w:bCs/>
        </w:rPr>
        <w:t>供给总量与结构。</w:t>
      </w:r>
      <w:r>
        <w:rPr>
          <w:rFonts w:hint="eastAsia"/>
        </w:rPr>
        <w:t>新建改建保障性租赁住房共</w:t>
      </w:r>
      <w:r>
        <w:t>3364套（间）。其中利用集体经营性建设用地建设120套（间），产业园区配套用地建设198套（间），存量闲置房屋建设667套（间），新供应国有住宅用地建设2379套（间）。</w:t>
      </w:r>
    </w:p>
    <w:p>
      <w:pPr>
        <w:spacing w:before="120"/>
        <w:ind w:firstLine="643" w:firstLineChars="0"/>
      </w:pPr>
      <w:r>
        <w:rPr>
          <w:rFonts w:hint="eastAsia"/>
          <w:b/>
          <w:bCs/>
        </w:rPr>
        <w:t>空间安排。</w:t>
      </w:r>
      <w:r>
        <w:rPr>
          <w:rFonts w:hint="eastAsia"/>
        </w:rPr>
        <w:t>柯城城区新建改建保障性租赁住房共</w:t>
      </w:r>
      <w:r>
        <w:t>792套（间），</w:t>
      </w:r>
      <w:r>
        <w:rPr>
          <w:rFonts w:hint="eastAsia"/>
        </w:rPr>
        <w:t>衢江城区新建改建保障性租赁住房共</w:t>
      </w:r>
      <w:r>
        <w:t>459套（间），</w:t>
      </w:r>
      <w:r>
        <w:rPr>
          <w:rFonts w:hint="eastAsia"/>
        </w:rPr>
        <w:t>智慧新城新建改建保障性租赁住房共</w:t>
      </w:r>
      <w:r>
        <w:t>1283套（间），智造新城新建改建保障性租赁住房共830套（间）。</w:t>
      </w:r>
    </w:p>
    <w:p>
      <w:pPr>
        <w:spacing w:before="120"/>
        <w:ind w:firstLine="643" w:firstLineChars="0"/>
      </w:pPr>
      <w:r>
        <w:rPr>
          <w:rFonts w:hint="eastAsia"/>
          <w:b/>
          <w:bCs/>
        </w:rPr>
        <w:t>土地需求。</w:t>
      </w:r>
      <w:r>
        <w:rPr>
          <w:rFonts w:hint="eastAsia"/>
        </w:rPr>
        <w:t>新供应保障性租赁住房用地需求共</w:t>
      </w:r>
      <w:r>
        <w:t>7.9公顷，其中柯城城区2.2公顷，</w:t>
      </w:r>
      <w:r>
        <w:rPr>
          <w:rFonts w:hint="eastAsia"/>
        </w:rPr>
        <w:t>衢江城区</w:t>
      </w:r>
      <w:r>
        <w:t>1.5公顷，智慧新城2.1公顷，智造新城2.1公顷。</w:t>
      </w:r>
    </w:p>
    <w:p>
      <w:pPr>
        <w:spacing w:before="120"/>
        <w:ind w:firstLine="643" w:firstLineChars="0"/>
      </w:pPr>
      <w:r>
        <w:rPr>
          <w:rFonts w:hint="eastAsia"/>
          <w:b/>
          <w:bCs/>
        </w:rPr>
        <w:t>投资规模。</w:t>
      </w:r>
      <w:r>
        <w:t>2022年预计</w:t>
      </w:r>
      <w:r>
        <w:rPr>
          <w:rFonts w:hint="eastAsia"/>
        </w:rPr>
        <w:t>建安投资规模</w:t>
      </w:r>
      <w:r>
        <w:t>约10.51亿元</w:t>
      </w:r>
      <w:r>
        <w:rPr>
          <w:rStyle w:val="27"/>
        </w:rPr>
        <w:footnoteReference w:id="2"/>
      </w:r>
      <w:r>
        <w:rPr>
          <w:rFonts w:hint="eastAsia"/>
        </w:rPr>
        <w:t>，</w:t>
      </w:r>
      <w:r>
        <w:t>新供应国有建设用地土地投资</w:t>
      </w:r>
      <w:r>
        <w:rPr>
          <w:rFonts w:hint="eastAsia"/>
        </w:rPr>
        <w:t>规模</w:t>
      </w:r>
      <w:r>
        <w:t>约</w:t>
      </w:r>
      <w:r>
        <w:rPr>
          <w:rFonts w:hint="eastAsia"/>
        </w:rPr>
        <w:t>1</w:t>
      </w:r>
      <w:r>
        <w:t>.58亿元</w:t>
      </w:r>
      <w:r>
        <w:rPr>
          <w:rStyle w:val="27"/>
        </w:rPr>
        <w:footnoteReference w:id="3"/>
      </w:r>
      <w:r>
        <w:rPr>
          <w:rFonts w:hint="eastAsia"/>
        </w:rPr>
        <w:t>。</w:t>
      </w:r>
    </w:p>
    <w:p>
      <w:pPr>
        <w:pStyle w:val="3"/>
        <w:spacing w:before="120"/>
        <w:ind w:left="720" w:firstLine="0" w:firstLineChars="0"/>
      </w:pPr>
      <w:bookmarkStart w:id="100" w:name="_Toc101686483"/>
      <w:bookmarkStart w:id="101" w:name="_Toc98246828"/>
      <w:r>
        <w:rPr>
          <w:rFonts w:hint="eastAsia"/>
        </w:rPr>
        <w:t>（二</w:t>
      </w:r>
      <w:r>
        <w:t>）2023</w:t>
      </w:r>
      <w:r>
        <w:rPr>
          <w:rFonts w:hint="eastAsia"/>
        </w:rPr>
        <w:t>年行动计划</w:t>
      </w:r>
      <w:bookmarkEnd w:id="100"/>
      <w:bookmarkEnd w:id="101"/>
    </w:p>
    <w:p>
      <w:pPr>
        <w:spacing w:before="120"/>
        <w:ind w:firstLine="643" w:firstLineChars="0"/>
      </w:pPr>
      <w:r>
        <w:rPr>
          <w:rFonts w:hint="eastAsia"/>
          <w:b/>
          <w:bCs/>
        </w:rPr>
        <w:t>重点任务。</w:t>
      </w:r>
      <w:r>
        <w:rPr>
          <w:rFonts w:hint="eastAsia"/>
        </w:rPr>
        <w:t>全面建成保障性租赁住房管理服务平台，纳入保障性租赁住房管理的存量租赁住房项目和新启动项目，全部纳入平台进行管理。引入和培育规模化专业化数量超过</w:t>
      </w:r>
      <w:r>
        <w:t>3家。</w:t>
      </w:r>
      <w:r>
        <w:rPr>
          <w:rFonts w:hint="eastAsia"/>
        </w:rPr>
        <w:t>积极推动</w:t>
      </w:r>
      <w:r>
        <w:t>重点项目</w:t>
      </w:r>
      <w:r>
        <w:rPr>
          <w:rFonts w:hint="eastAsia"/>
        </w:rPr>
        <w:t>建设筹集</w:t>
      </w:r>
      <w:r>
        <w:t>，建成并投入使用一批示范项目。新增供应保障性租赁住房2800套</w:t>
      </w:r>
      <w:r>
        <w:rPr>
          <w:rFonts w:hint="eastAsia"/>
        </w:rPr>
        <w:t>（间）。</w:t>
      </w:r>
    </w:p>
    <w:p>
      <w:pPr>
        <w:spacing w:before="120"/>
        <w:ind w:firstLine="643" w:firstLineChars="0"/>
      </w:pPr>
      <w:r>
        <w:rPr>
          <w:rFonts w:hint="eastAsia"/>
          <w:b/>
          <w:bCs/>
        </w:rPr>
        <w:t>意向项目总量与结构。</w:t>
      </w:r>
      <w:r>
        <w:rPr>
          <w:rFonts w:hint="eastAsia"/>
          <w:bCs/>
        </w:rPr>
        <w:t>意向项目</w:t>
      </w:r>
      <w:r>
        <w:rPr>
          <w:rFonts w:hint="eastAsia"/>
        </w:rPr>
        <w:t>新建改建保障性租赁住房共</w:t>
      </w:r>
      <w:r>
        <w:t>3440套（间）。其中利用集体经营性建设用地建设280套（间），利用新供应国有住宅用地建设3160套（间）。</w:t>
      </w:r>
    </w:p>
    <w:p>
      <w:pPr>
        <w:spacing w:before="120"/>
        <w:ind w:firstLine="643" w:firstLineChars="0"/>
      </w:pPr>
      <w:r>
        <w:rPr>
          <w:rFonts w:hint="eastAsia"/>
          <w:b/>
          <w:bCs/>
        </w:rPr>
        <w:t>意向项目空间安排。</w:t>
      </w:r>
      <w:r>
        <w:rPr>
          <w:rFonts w:hint="eastAsia"/>
        </w:rPr>
        <w:t>柯城城区新建改建保障性租赁住房共</w:t>
      </w:r>
      <w:r>
        <w:t>2670套（间），</w:t>
      </w:r>
      <w:r>
        <w:rPr>
          <w:rFonts w:hint="eastAsia"/>
        </w:rPr>
        <w:t>衢江城区新建改建保障性租赁住房共</w:t>
      </w:r>
      <w:r>
        <w:t>456套（间），智造新城新建改建保障性租赁住房共314套（间）。</w:t>
      </w:r>
    </w:p>
    <w:p>
      <w:pPr>
        <w:spacing w:before="120"/>
        <w:ind w:firstLine="643" w:firstLineChars="0"/>
      </w:pPr>
      <w:r>
        <w:rPr>
          <w:rFonts w:hint="eastAsia"/>
          <w:b/>
          <w:bCs/>
        </w:rPr>
        <w:t>意向项目土地需求。</w:t>
      </w:r>
      <w:r>
        <w:rPr>
          <w:rFonts w:hint="eastAsia"/>
        </w:rPr>
        <w:t>新供应保障性租赁住房用地需求共</w:t>
      </w:r>
      <w:r>
        <w:t>10.5公顷，其中柯城城区8公顷，</w:t>
      </w:r>
      <w:r>
        <w:rPr>
          <w:rFonts w:hint="eastAsia"/>
        </w:rPr>
        <w:t>衢江城区</w:t>
      </w:r>
      <w:r>
        <w:t>1.5公顷，智造新城1公顷。</w:t>
      </w:r>
    </w:p>
    <w:p>
      <w:pPr>
        <w:spacing w:before="120"/>
        <w:ind w:firstLine="643" w:firstLineChars="0"/>
      </w:pPr>
      <w:r>
        <w:rPr>
          <w:rFonts w:hint="eastAsia"/>
          <w:b/>
          <w:bCs/>
        </w:rPr>
        <w:t>意向项目投资规模。</w:t>
      </w:r>
      <w:r>
        <w:t>2023年预计建安投资</w:t>
      </w:r>
      <w:r>
        <w:rPr>
          <w:rFonts w:hint="eastAsia"/>
        </w:rPr>
        <w:t>规模</w:t>
      </w:r>
      <w:r>
        <w:t>约12.66亿元，新供应国有建设用地土地投资</w:t>
      </w:r>
      <w:r>
        <w:rPr>
          <w:rFonts w:hint="eastAsia"/>
        </w:rPr>
        <w:t>规模</w:t>
      </w:r>
      <w:r>
        <w:t>约1.97亿元。</w:t>
      </w:r>
    </w:p>
    <w:p>
      <w:pPr>
        <w:pStyle w:val="3"/>
        <w:spacing w:before="120"/>
        <w:ind w:left="720" w:firstLine="0" w:firstLineChars="0"/>
      </w:pPr>
      <w:bookmarkStart w:id="102" w:name="_Toc98246829"/>
      <w:bookmarkStart w:id="103" w:name="_Toc101686484"/>
      <w:r>
        <w:rPr>
          <w:rFonts w:hint="eastAsia"/>
        </w:rPr>
        <w:t>（三</w:t>
      </w:r>
      <w:r>
        <w:t>）2024</w:t>
      </w:r>
      <w:r>
        <w:rPr>
          <w:rFonts w:hint="eastAsia"/>
        </w:rPr>
        <w:t>年行动计划</w:t>
      </w:r>
      <w:bookmarkEnd w:id="102"/>
      <w:bookmarkEnd w:id="103"/>
    </w:p>
    <w:p>
      <w:pPr>
        <w:spacing w:before="120"/>
        <w:ind w:firstLine="643" w:firstLineChars="0"/>
      </w:pPr>
      <w:r>
        <w:rPr>
          <w:rFonts w:hint="eastAsia"/>
          <w:b/>
          <w:bCs/>
        </w:rPr>
        <w:t>重点任务。</w:t>
      </w:r>
      <w:r>
        <w:rPr>
          <w:rFonts w:hint="eastAsia"/>
        </w:rPr>
        <w:t>完善保障性租赁住房政策体系，实现保障性租赁住房的全生命周期、全过程的数字化高效管理服务。</w:t>
      </w:r>
      <w:r>
        <w:rPr>
          <w:rFonts w:hint="eastAsia"/>
          <w:color w:val="000000" w:themeColor="text1"/>
          <w14:textFill>
            <w14:solidFill>
              <w14:schemeClr w14:val="tx1"/>
            </w14:solidFill>
          </w14:textFill>
        </w:rPr>
        <w:t>各区（新城）参与保障性租赁住房建设管理的各类主体数量初具规模，</w:t>
      </w:r>
      <w:r>
        <w:rPr>
          <w:rFonts w:hint="eastAsia"/>
        </w:rPr>
        <w:t>引入和培育规模化专业化数量超过</w:t>
      </w:r>
      <w:r>
        <w:t>5家。</w:t>
      </w:r>
      <w:r>
        <w:rPr>
          <w:rFonts w:hint="eastAsia"/>
          <w:color w:val="000000" w:themeColor="text1"/>
          <w14:textFill>
            <w14:solidFill>
              <w14:schemeClr w14:val="tx1"/>
            </w14:solidFill>
          </w14:textFill>
        </w:rPr>
        <w:t>重点项目全面启动，房源供给大幅增加，初步形成房源合理布局。</w:t>
      </w:r>
      <w:r>
        <w:t>新增供应保障性租赁住房2000套</w:t>
      </w:r>
      <w:r>
        <w:rPr>
          <w:rFonts w:hint="eastAsia"/>
        </w:rPr>
        <w:t>（间）。</w:t>
      </w:r>
    </w:p>
    <w:p>
      <w:pPr>
        <w:spacing w:before="120"/>
        <w:ind w:firstLine="643" w:firstLineChars="0"/>
      </w:pPr>
      <w:r>
        <w:rPr>
          <w:rFonts w:hint="eastAsia"/>
          <w:b/>
          <w:bCs/>
        </w:rPr>
        <w:t>意向项目供给总量与结构。</w:t>
      </w:r>
      <w:r>
        <w:rPr>
          <w:rFonts w:hint="eastAsia"/>
          <w:bCs/>
        </w:rPr>
        <w:t>意向项目</w:t>
      </w:r>
      <w:r>
        <w:rPr>
          <w:rFonts w:hint="eastAsia"/>
        </w:rPr>
        <w:t>新建改建保障性租赁住房共</w:t>
      </w:r>
      <w:r>
        <w:t>2350套（间）。主要利用新供应国有住宅用地建设2350套（间）。</w:t>
      </w:r>
    </w:p>
    <w:p>
      <w:pPr>
        <w:spacing w:before="120"/>
        <w:ind w:firstLine="643" w:firstLineChars="0"/>
      </w:pPr>
      <w:r>
        <w:rPr>
          <w:rFonts w:hint="eastAsia"/>
          <w:b/>
          <w:bCs/>
        </w:rPr>
        <w:t>意向项目空间安排。</w:t>
      </w:r>
      <w:r>
        <w:rPr>
          <w:rFonts w:hint="eastAsia"/>
        </w:rPr>
        <w:t>柯城城区新建改建保障性租赁住房共</w:t>
      </w:r>
      <w:r>
        <w:t>1000套（间），</w:t>
      </w:r>
      <w:r>
        <w:rPr>
          <w:rFonts w:hint="eastAsia"/>
        </w:rPr>
        <w:t>智慧</w:t>
      </w:r>
      <w:r>
        <w:t>新城新建改建保障性租赁住房共1200套（间）</w:t>
      </w:r>
      <w:r>
        <w:rPr>
          <w:rFonts w:hint="eastAsia"/>
        </w:rPr>
        <w:t>，</w:t>
      </w:r>
      <w:r>
        <w:t>智造新城新建改建保障性租赁住房共150套（间）。</w:t>
      </w:r>
    </w:p>
    <w:p>
      <w:pPr>
        <w:pStyle w:val="31"/>
        <w:spacing w:before="120"/>
        <w:ind w:firstLine="643"/>
      </w:pPr>
      <w:r>
        <w:rPr>
          <w:rFonts w:hint="eastAsia"/>
          <w:b/>
          <w:bCs/>
        </w:rPr>
        <w:t>意向项目土地需求。</w:t>
      </w:r>
      <w:r>
        <w:rPr>
          <w:rFonts w:hint="eastAsia"/>
        </w:rPr>
        <w:t>新供应保障性租赁住房用地需求共</w:t>
      </w:r>
      <w:r>
        <w:t>7.8公顷，其中柯城城区3.3公顷，智慧新城</w:t>
      </w:r>
      <w:r>
        <w:rPr>
          <w:rFonts w:hint="eastAsia"/>
        </w:rPr>
        <w:t>4公顷，</w:t>
      </w:r>
      <w:r>
        <w:t>智造新城0.5公顷。</w:t>
      </w:r>
    </w:p>
    <w:p>
      <w:pPr>
        <w:spacing w:before="120"/>
        <w:ind w:firstLine="643" w:firstLineChars="0"/>
      </w:pPr>
      <w:r>
        <w:rPr>
          <w:rFonts w:hint="eastAsia"/>
          <w:b/>
          <w:bCs/>
        </w:rPr>
        <w:t>意向项目投资规模。</w:t>
      </w:r>
      <w:r>
        <w:t>2024年预计建安投资</w:t>
      </w:r>
      <w:r>
        <w:rPr>
          <w:rFonts w:hint="eastAsia"/>
        </w:rPr>
        <w:t>规模</w:t>
      </w:r>
      <w:r>
        <w:t>约9.98亿元，新供应国有建设用地土地投资</w:t>
      </w:r>
      <w:r>
        <w:rPr>
          <w:rFonts w:hint="eastAsia"/>
        </w:rPr>
        <w:t>规模</w:t>
      </w:r>
      <w:r>
        <w:t>约1.59亿元。</w:t>
      </w:r>
    </w:p>
    <w:p>
      <w:pPr>
        <w:spacing w:before="120"/>
      </w:pPr>
    </w:p>
    <w:p>
      <w:pPr>
        <w:pStyle w:val="3"/>
        <w:spacing w:before="120"/>
        <w:ind w:firstLine="0" w:firstLineChars="0"/>
      </w:pPr>
      <w:bookmarkStart w:id="104" w:name="_Toc101686485"/>
      <w:r>
        <w:rPr>
          <w:rFonts w:hint="eastAsia"/>
        </w:rPr>
        <w:t>七、实施保障措施</w:t>
      </w:r>
      <w:bookmarkEnd w:id="104"/>
    </w:p>
    <w:p>
      <w:pPr>
        <w:pStyle w:val="3"/>
        <w:spacing w:before="120"/>
      </w:pPr>
      <w:bookmarkStart w:id="105" w:name="_Toc101686486"/>
      <w:r>
        <w:rPr>
          <w:rFonts w:hint="eastAsia"/>
        </w:rPr>
        <w:t>（一</w:t>
      </w:r>
      <w:r>
        <w:t>）</w:t>
      </w:r>
      <w:r>
        <w:rPr>
          <w:rFonts w:hint="eastAsia"/>
        </w:rPr>
        <w:t>健全管理机制</w:t>
      </w:r>
      <w:bookmarkEnd w:id="105"/>
    </w:p>
    <w:p>
      <w:pPr>
        <w:spacing w:before="120"/>
      </w:pPr>
      <w:r>
        <w:rPr>
          <w:rFonts w:hint="eastAsia"/>
        </w:rPr>
        <w:t>构建市级抓总、属地落实的责任分工机制。加强市级组织领导，市房地产市场持续健康发展协调小组负责统筹推进全市保障性租赁住房工作，加强指导监督，对发展保障性租赁住房情况实施监测评价。市住建局、发改委、财政局、资源规划局、经信局、应急管理局、税务局、人行、银保监局等部门按照各自职能协同推进，形成工作合力，确保各项工作顺利实施。各区政府和新城管委会要成立保障性租赁住房工作领导机构，统筹落实房源筹集、项目审批、人房动态管理等具体工作。</w:t>
      </w:r>
    </w:p>
    <w:p>
      <w:pPr>
        <w:spacing w:before="120"/>
      </w:pPr>
      <w:r>
        <w:rPr>
          <w:rFonts w:hint="eastAsia"/>
        </w:rPr>
        <w:t>强化部门协作，明确各部门职责。市住房和城乡建设局负责制定市区新（改）建保障性租赁住房操作细则，明确项目建设和营运管理的具体要求，牵头落实好住房租赁管理服务平台的使用管理，加强对保障性租赁住房项目申报、认定、建设、出租和运营管理的全过程监管；市发展改革委负责牵头做好项目立项审批、争取中央预算内投资和管理、落实水电气价格优惠等工作；市规划资源局负责牵头做好规划审批、用地供应等工作；</w:t>
      </w:r>
      <w:r>
        <w:t xml:space="preserve"> 市财政局、税务局等部门</w:t>
      </w:r>
      <w:r>
        <w:rPr>
          <w:rFonts w:hint="eastAsia"/>
        </w:rPr>
        <w:t>负责牵头</w:t>
      </w:r>
      <w:r>
        <w:t>落实保障性租赁住房的房产税和增值税减免，城市基础设施配套费免收等政策</w:t>
      </w:r>
      <w:r>
        <w:rPr>
          <w:rFonts w:hint="eastAsia"/>
        </w:rPr>
        <w:t>；市人才办和人社局负责牵头落实人才住房与保障性租赁住房并轨衔接政策制定与监督实施等规划；</w:t>
      </w:r>
      <w:r>
        <w:t>市人行、市银保监局等部门</w:t>
      </w:r>
      <w:r>
        <w:rPr>
          <w:rFonts w:hint="eastAsia"/>
        </w:rPr>
        <w:t>负责牵头</w:t>
      </w:r>
      <w:r>
        <w:t>支持银行业金融机构加大对保障性租赁住房建设运营的信贷支持力度，为相关企业提供贷款、发行债券</w:t>
      </w:r>
      <w:r>
        <w:rPr>
          <w:rFonts w:hint="eastAsia"/>
        </w:rPr>
        <w:t>；</w:t>
      </w:r>
      <w:r>
        <w:t>市城投集团、国网衢州供电公司、燃气公司等单位落实好对保障性租赁住房用水、用电、用气价格按照民用标准执行等政策</w:t>
      </w:r>
      <w:r>
        <w:rPr>
          <w:rFonts w:hint="eastAsia"/>
        </w:rPr>
        <w:t>。市区（新城）两级相关部门要加强政策协调、相互配合、形成合力，确保各项政策落实到位。</w:t>
      </w:r>
    </w:p>
    <w:p>
      <w:pPr>
        <w:spacing w:before="120"/>
      </w:pPr>
      <w:r>
        <w:rPr>
          <w:rFonts w:hint="eastAsia"/>
        </w:rPr>
        <w:t>建立联审机制。由各区政府和新城管委会分别组织住建、发改、经信、资源规划、生态环境等相关部门成立项目联合审查工作小组，对申报保障性租赁住房项目的建设、分配、运营管理等方案实施联合审查，审查通过的，由各区政府和新城管委会出具保障性租赁住房项目认定书。取得项目认定书后，由发改、资源规划、住建、生态环境等相关部门通过投资项目在线审批监管平台，分别办理立项或备案、用地、规划、环保、施工、消防等审批手续。</w:t>
      </w:r>
    </w:p>
    <w:p>
      <w:pPr>
        <w:pStyle w:val="3"/>
        <w:spacing w:before="120"/>
      </w:pPr>
      <w:bookmarkStart w:id="106" w:name="_Toc53345947"/>
      <w:bookmarkStart w:id="107" w:name="_Toc101686487"/>
      <w:r>
        <w:rPr>
          <w:rFonts w:hint="eastAsia"/>
        </w:rPr>
        <w:t>（二）保障土地供给</w:t>
      </w:r>
      <w:bookmarkEnd w:id="106"/>
      <w:bookmarkEnd w:id="107"/>
    </w:p>
    <w:p>
      <w:pPr>
        <w:shd w:val="clear" w:color="000000" w:fill="FFFFFF"/>
        <w:spacing w:before="120"/>
      </w:pPr>
      <w:r>
        <w:rPr>
          <w:rFonts w:hint="eastAsia"/>
          <w:bCs/>
        </w:rPr>
        <w:t>充分保障用于保障性租赁住房建设的住宅用地供给，</w:t>
      </w:r>
      <w:r>
        <w:t>单列保障性租赁住房用地计划</w:t>
      </w:r>
      <w:r>
        <w:rPr>
          <w:rFonts w:hint="eastAsia"/>
        </w:rPr>
        <w:t>。</w:t>
      </w:r>
    </w:p>
    <w:p>
      <w:pPr>
        <w:shd w:val="clear" w:color="000000" w:fill="FFFFFF"/>
        <w:spacing w:before="120"/>
      </w:pPr>
      <w:r>
        <w:rPr>
          <w:rFonts w:hint="eastAsia"/>
        </w:rPr>
        <w:t>各区（新城）</w:t>
      </w:r>
      <w:r>
        <w:rPr>
          <w:rFonts w:hint="eastAsia"/>
          <w:bCs/>
        </w:rPr>
        <w:t>将保障性租赁住房用地供应纳入年度土地供应计划，合理确定保障性租赁住房建设用地供应规模。</w:t>
      </w:r>
    </w:p>
    <w:p>
      <w:pPr>
        <w:shd w:val="clear" w:color="000000" w:fill="FFFFFF"/>
        <w:spacing w:before="120"/>
        <w:rPr>
          <w:bCs/>
        </w:rPr>
      </w:pPr>
      <w:r>
        <w:t>在稳定国有建设土地供应的基础上，积极引导、支持各投资主体盘活城中村改造综合用地中剩余的经营性用地、企事业单位自有闲置土地、产业园区配套用地等存量土地资源及闲置商业办公等非居住用地房屋资源，用于新建、改建保障性租赁住房。</w:t>
      </w:r>
    </w:p>
    <w:p>
      <w:pPr>
        <w:pStyle w:val="3"/>
        <w:spacing w:before="120"/>
      </w:pPr>
      <w:bookmarkStart w:id="108" w:name="_Toc101686488"/>
      <w:r>
        <w:t>（</w:t>
      </w:r>
      <w:r>
        <w:rPr>
          <w:rFonts w:hint="eastAsia"/>
        </w:rPr>
        <w:t>三</w:t>
      </w:r>
      <w:r>
        <w:t>）落实政策优惠</w:t>
      </w:r>
      <w:bookmarkEnd w:id="108"/>
    </w:p>
    <w:p>
      <w:pPr>
        <w:shd w:val="clear" w:color="000000" w:fill="FFFFFF"/>
        <w:spacing w:before="120"/>
      </w:pPr>
      <w:r>
        <w:rPr>
          <w:rFonts w:hint="eastAsia"/>
        </w:rPr>
        <w:t>对符合规定的保障性租赁住房建设任务，积极争取中央和省级各项补助资金，市级财政在现有经费渠道基础上加大支持力度。各区（新城）统筹从土地出让收益（</w:t>
      </w:r>
      <w:r>
        <w:t>10%以上）或土地出让收入总额（2%以上）中提取的保障性住房建设资金、从存量工业用地出让收入总额中提取的“腾笼换鸟”专项经费等各级各类有关资金，用于发展保障性租赁住房。</w:t>
      </w:r>
    </w:p>
    <w:p>
      <w:pPr>
        <w:shd w:val="clear" w:color="000000" w:fill="FFFFFF"/>
        <w:spacing w:before="120"/>
      </w:pPr>
      <w:r>
        <w:t>对取得保障性租赁住房项目认定书的项目，依照建设方式，给予相应的城市基础设施配套费减免，土地价款免补缴，住房租赁增值税、房产税优惠，执行民用水电气价格等各项政策优惠。保障性租赁住房项目有关税收政策，按照《财政部税务总局住房城乡建设部关于完善住房租赁有关税收政策的公告》（2021第24号）有关规定执行。</w:t>
      </w:r>
    </w:p>
    <w:p>
      <w:pPr>
        <w:shd w:val="clear" w:color="000000" w:fill="FFFFFF"/>
        <w:spacing w:before="120"/>
      </w:pPr>
      <w:r>
        <w:rPr>
          <w:rFonts w:hint="eastAsia"/>
        </w:rPr>
        <w:t>支持符合条件的保障性租赁住房运营企业在银行间债券市场发债融资，</w:t>
      </w:r>
      <w:r>
        <w:t>支持符合条件的保障性租赁住房项目申报基础设施不动产投资信托基金（Reits）试点。</w:t>
      </w:r>
    </w:p>
    <w:p>
      <w:pPr>
        <w:pStyle w:val="3"/>
        <w:spacing w:before="120"/>
      </w:pPr>
      <w:bookmarkStart w:id="109" w:name="_Toc101686489"/>
      <w:r>
        <w:rPr>
          <w:rFonts w:hint="eastAsia"/>
        </w:rPr>
        <w:t>（四</w:t>
      </w:r>
      <w:r>
        <w:t>）</w:t>
      </w:r>
      <w:r>
        <w:rPr>
          <w:rFonts w:hint="eastAsia"/>
        </w:rPr>
        <w:t>严格监督管理</w:t>
      </w:r>
      <w:bookmarkEnd w:id="109"/>
    </w:p>
    <w:p>
      <w:pPr>
        <w:spacing w:before="120"/>
      </w:pPr>
      <w:r>
        <w:rPr>
          <w:rFonts w:hint="eastAsia"/>
        </w:rPr>
        <w:t>各区政府（管委会）建设部门应建立日常监管和动态核查机制，加强对项目建设主体、运营单位的监督管理，定期核查承租人的住房情况。</w:t>
      </w:r>
    </w:p>
    <w:p>
      <w:pPr>
        <w:spacing w:before="120"/>
      </w:pPr>
      <w:r>
        <w:rPr>
          <w:rFonts w:hint="eastAsia"/>
        </w:rPr>
        <w:t>将发展保障性租赁住房工作纳入市政府对各区政府（管委会）、市级相关部门年度工作考核，加强指导督促，实施监测评价，推动保障性租赁住房工作有效推进。</w:t>
      </w:r>
    </w:p>
    <w:p>
      <w:pPr>
        <w:spacing w:before="120"/>
        <w:ind w:firstLine="0" w:firstLineChars="0"/>
      </w:pPr>
    </w:p>
    <w:p>
      <w:pPr>
        <w:widowControl/>
        <w:spacing w:before="0" w:beforeLines="0" w:line="240" w:lineRule="auto"/>
        <w:ind w:firstLine="0" w:firstLineChars="0"/>
        <w:jc w:val="left"/>
      </w:pPr>
    </w:p>
    <w:sectPr>
      <w:footerReference r:id="rId12" w:type="default"/>
      <w:pgSz w:w="11907" w:h="16839"/>
      <w:pgMar w:top="1440" w:right="1800" w:bottom="1440" w:left="1800" w:header="720" w:footer="720" w:gutter="0"/>
      <w:cols w:space="720"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TimesNewRomanPSMT">
    <w:altName w:val="Nimbus Roman No9 L"/>
    <w:panose1 w:val="00000000000000000000"/>
    <w:charset w:val="01"/>
    <w:family w:val="roman"/>
    <w:pitch w:val="default"/>
    <w:sig w:usb0="00000000" w:usb1="00000000" w:usb2="00000000" w:usb3="00000000" w:csb0="00040001" w:csb1="00000000"/>
  </w:font>
  <w:font w:name="Calibri Light">
    <w:altName w:val="DejaVu Sans"/>
    <w:panose1 w:val="020F030202020403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Segoe UI Symbol">
    <w:altName w:val="Noto Sans"/>
    <w:panose1 w:val="020B0502040204020203"/>
    <w:charset w:val="00"/>
    <w:family w:val="swiss"/>
    <w:pitch w:val="default"/>
    <w:sig w:usb0="00000000" w:usb1="00000000" w:usb2="00040000" w:usb3="00000000" w:csb0="00000001" w:csb1="00000000"/>
  </w:font>
  <w:font w:name="等线">
    <w:altName w:val="汉仪中宋简"/>
    <w:panose1 w:val="02010600030101010101"/>
    <w:charset w:val="86"/>
    <w:family w:val="auto"/>
    <w:pitch w:val="default"/>
    <w:sig w:usb0="00000000" w:usb1="00000000" w:usb2="00000016" w:usb3="00000000" w:csb0="0004000F" w:csb1="00000000"/>
  </w:font>
  <w:font w:name="Arial">
    <w:altName w:val="Nimbus Roman No9 L"/>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360"/>
      <w:jc w:val="center"/>
    </w:pPr>
  </w:p>
  <w:p>
    <w:pPr>
      <w:pStyle w:val="14"/>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ind w:firstLine="360"/>
      <w:jc w:val="center"/>
    </w:pPr>
  </w:p>
  <w:p>
    <w:pPr>
      <w:pStyle w:val="14"/>
      <w:spacing w:before="12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2350703"/>
      <w:docPartObj>
        <w:docPartGallery w:val="AutoText"/>
      </w:docPartObj>
    </w:sdtPr>
    <w:sdtContent>
      <w:p>
        <w:pPr>
          <w:pStyle w:val="14"/>
          <w:spacing w:before="120"/>
          <w:ind w:firstLine="360"/>
          <w:jc w:val="center"/>
        </w:pPr>
        <w:r>
          <w:fldChar w:fldCharType="begin"/>
        </w:r>
        <w:r>
          <w:instrText xml:space="preserve">PAGE   \* MERGEFORMAT</w:instrText>
        </w:r>
        <w:r>
          <w:fldChar w:fldCharType="separate"/>
        </w:r>
        <w:r>
          <w:rPr>
            <w:lang w:val="zh-CN"/>
          </w:rPr>
          <w:t>14</w:t>
        </w:r>
        <w:r>
          <w:fldChar w:fldCharType="end"/>
        </w:r>
      </w:p>
    </w:sdtContent>
  </w:sdt>
  <w:p>
    <w:pPr>
      <w:pStyle w:val="14"/>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line="240" w:lineRule="auto"/>
        <w:ind w:firstLine="640"/>
      </w:pPr>
      <w:r>
        <w:separator/>
      </w:r>
    </w:p>
  </w:footnote>
  <w:footnote w:type="continuationSeparator" w:id="9">
    <w:p>
      <w:pPr>
        <w:spacing w:line="240" w:lineRule="auto"/>
        <w:ind w:firstLine="640"/>
      </w:pPr>
      <w:r>
        <w:continuationSeparator/>
      </w:r>
    </w:p>
  </w:footnote>
  <w:footnote w:id="0">
    <w:p>
      <w:pPr>
        <w:pStyle w:val="18"/>
        <w:spacing w:before="0" w:beforeLines="0" w:line="240" w:lineRule="auto"/>
        <w:ind w:firstLine="360"/>
      </w:pPr>
      <w:r>
        <w:rPr>
          <w:rStyle w:val="27"/>
        </w:rPr>
        <w:footnoteRef/>
      </w:r>
      <w:r>
        <w:rPr>
          <w:rFonts w:hint="eastAsia"/>
        </w:rPr>
        <w:t xml:space="preserve"> 因为保障性租赁住房不设置租赁门槛，和市场租赁住房、部分单位提供住房的对象重合度较高，所以潜在需求是包括市场租房的人群和未来会纳入保租房的单位宿舍所能保障的人群。 </w:t>
      </w:r>
    </w:p>
  </w:footnote>
  <w:footnote w:id="1">
    <w:p>
      <w:pPr>
        <w:pStyle w:val="18"/>
        <w:spacing w:before="0" w:beforeLines="0" w:line="240" w:lineRule="auto"/>
        <w:ind w:firstLine="360"/>
        <w:jc w:val="both"/>
      </w:pPr>
      <w:r>
        <w:rPr>
          <w:rStyle w:val="27"/>
        </w:rPr>
        <w:footnoteRef/>
      </w:r>
      <w:r>
        <w:t xml:space="preserve"> </w:t>
      </w:r>
      <w:r>
        <w:rPr>
          <w:rFonts w:hint="eastAsia"/>
        </w:rPr>
        <w:t>根据问卷情况，在接受调查的新市民中，不愿意接受合住和愿意接受合住的人员比例为3:1，按此比例计算得到户均约1</w:t>
      </w:r>
      <w:r>
        <w:t>.1人</w:t>
      </w:r>
      <w:r>
        <w:rPr>
          <w:rFonts w:hint="eastAsia"/>
        </w:rPr>
        <w:t>（假设8个人中，不接受合住的有6人，接受合住的有2人，共需要房间7间）；同时，根据问卷，目前1人居住和多人居住的人员比例为</w:t>
      </w:r>
      <w:r>
        <w:t>4</w:t>
      </w:r>
      <w:r>
        <w:rPr>
          <w:rFonts w:hint="eastAsia"/>
        </w:rPr>
        <w:t>:</w:t>
      </w:r>
      <w:r>
        <w:t>6</w:t>
      </w:r>
      <w:r>
        <w:rPr>
          <w:rFonts w:hint="eastAsia"/>
        </w:rPr>
        <w:t>，按此比例计算得到户均1</w:t>
      </w:r>
      <w:r>
        <w:t>.4人</w:t>
      </w:r>
      <w:r>
        <w:rPr>
          <w:rFonts w:hint="eastAsia"/>
        </w:rPr>
        <w:t>（假设</w:t>
      </w:r>
      <w:r>
        <w:t>10</w:t>
      </w:r>
      <w:r>
        <w:rPr>
          <w:rFonts w:hint="eastAsia"/>
        </w:rPr>
        <w:t>个人中，实际独居的有</w:t>
      </w:r>
      <w:r>
        <w:t>4</w:t>
      </w:r>
      <w:r>
        <w:rPr>
          <w:rFonts w:hint="eastAsia"/>
        </w:rPr>
        <w:t>人，合住的有6人，共需要房间</w:t>
      </w:r>
      <w:r>
        <w:t>7</w:t>
      </w:r>
      <w:r>
        <w:rPr>
          <w:rFonts w:hint="eastAsia"/>
        </w:rPr>
        <w:t>间）。综合两个比例，估算得到新就业大学生每套（间）约住1</w:t>
      </w:r>
      <w:r>
        <w:t>.25人</w:t>
      </w:r>
      <w:r>
        <w:rPr>
          <w:rFonts w:hint="eastAsia"/>
        </w:rPr>
        <w:t>。</w:t>
      </w:r>
    </w:p>
  </w:footnote>
  <w:footnote w:id="2">
    <w:p>
      <w:pPr>
        <w:pStyle w:val="18"/>
        <w:spacing w:before="0" w:beforeLines="0" w:line="240" w:lineRule="auto"/>
        <w:ind w:firstLine="360"/>
      </w:pPr>
      <w:r>
        <w:rPr>
          <w:rStyle w:val="27"/>
        </w:rPr>
        <w:footnoteRef/>
      </w:r>
      <w:r>
        <w:rPr>
          <w:rFonts w:hint="eastAsia"/>
        </w:rPr>
        <w:t>建安成本：大部分已计划筹集及意向项目的建安投资成本来源于两城两区上报各项目的投资金额，少数未提供投资金额数据的项目进行资金估算。通过各区调研，结合衢州情况，按照新建建设成本为0</w:t>
      </w:r>
      <w:r>
        <w:t>.7</w:t>
      </w:r>
      <w:r>
        <w:rPr>
          <w:rFonts w:hint="eastAsia"/>
        </w:rPr>
        <w:t>万元/平方米进行估算，存量改建成本按照0</w:t>
      </w:r>
      <w:r>
        <w:t>.2</w:t>
      </w:r>
      <w:r>
        <w:rPr>
          <w:rFonts w:hint="eastAsia"/>
        </w:rPr>
        <w:t>万元/平方米进行估算。</w:t>
      </w:r>
    </w:p>
  </w:footnote>
  <w:footnote w:id="3">
    <w:p>
      <w:pPr>
        <w:pStyle w:val="18"/>
        <w:spacing w:before="0" w:beforeLines="0" w:line="240" w:lineRule="auto"/>
        <w:ind w:firstLine="360"/>
      </w:pPr>
      <w:r>
        <w:rPr>
          <w:rStyle w:val="27"/>
        </w:rPr>
        <w:footnoteRef/>
      </w:r>
      <w:r>
        <w:rPr>
          <w:rFonts w:hint="eastAsia"/>
        </w:rPr>
        <w:t>土地投资成本测算仅针对新供应国有建设用地进行测算。目前衢州市区近两年商品住宅楼面价格约在</w:t>
      </w:r>
      <w:r>
        <w:t>6500元/平方米左右</w:t>
      </w:r>
      <w:r>
        <w:rPr>
          <w:rFonts w:hint="eastAsia"/>
        </w:rPr>
        <w:t>。</w:t>
      </w:r>
      <w:r>
        <w:t>由于租赁住房拿地成本相对较低，根据上海和杭州租赁住房用地的价格估算，按租赁住房用地楼面价为普通商品住宅用地楼面价的1/6，约1100元/平方米来计算衢州市保障性租赁住房的土地成本。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8"/>
    <w:footnote w:id="9"/>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6E"/>
    <w:rsid w:val="00003212"/>
    <w:rsid w:val="00003E4D"/>
    <w:rsid w:val="00005B28"/>
    <w:rsid w:val="00012676"/>
    <w:rsid w:val="0001542D"/>
    <w:rsid w:val="00023A34"/>
    <w:rsid w:val="00025CF1"/>
    <w:rsid w:val="00030FF9"/>
    <w:rsid w:val="00032FE4"/>
    <w:rsid w:val="00035E31"/>
    <w:rsid w:val="0004058A"/>
    <w:rsid w:val="00040E97"/>
    <w:rsid w:val="00041704"/>
    <w:rsid w:val="00041AC8"/>
    <w:rsid w:val="000608F7"/>
    <w:rsid w:val="00063856"/>
    <w:rsid w:val="0006521F"/>
    <w:rsid w:val="0006568B"/>
    <w:rsid w:val="000657E9"/>
    <w:rsid w:val="00070DD6"/>
    <w:rsid w:val="00075336"/>
    <w:rsid w:val="000811A9"/>
    <w:rsid w:val="00083168"/>
    <w:rsid w:val="000834C4"/>
    <w:rsid w:val="0008784D"/>
    <w:rsid w:val="00091969"/>
    <w:rsid w:val="00092A6D"/>
    <w:rsid w:val="00092EAF"/>
    <w:rsid w:val="00094FD4"/>
    <w:rsid w:val="000A3C1C"/>
    <w:rsid w:val="000A4A79"/>
    <w:rsid w:val="000B0395"/>
    <w:rsid w:val="000B4432"/>
    <w:rsid w:val="000C05F5"/>
    <w:rsid w:val="000C2482"/>
    <w:rsid w:val="000C2CBA"/>
    <w:rsid w:val="000C3A18"/>
    <w:rsid w:val="000C3F9D"/>
    <w:rsid w:val="000C5102"/>
    <w:rsid w:val="000C62C7"/>
    <w:rsid w:val="000C716F"/>
    <w:rsid w:val="000C7FBC"/>
    <w:rsid w:val="000D673C"/>
    <w:rsid w:val="000E0EC6"/>
    <w:rsid w:val="000E1A02"/>
    <w:rsid w:val="000E4F79"/>
    <w:rsid w:val="000E70E5"/>
    <w:rsid w:val="000F79D7"/>
    <w:rsid w:val="00103CEB"/>
    <w:rsid w:val="00111EAA"/>
    <w:rsid w:val="00112362"/>
    <w:rsid w:val="00127273"/>
    <w:rsid w:val="00127F50"/>
    <w:rsid w:val="0013070D"/>
    <w:rsid w:val="00131D44"/>
    <w:rsid w:val="00131FF1"/>
    <w:rsid w:val="0013319F"/>
    <w:rsid w:val="001332FF"/>
    <w:rsid w:val="00141F11"/>
    <w:rsid w:val="00142ABA"/>
    <w:rsid w:val="0014481B"/>
    <w:rsid w:val="00153DAB"/>
    <w:rsid w:val="00154110"/>
    <w:rsid w:val="00162BA6"/>
    <w:rsid w:val="001632D5"/>
    <w:rsid w:val="00163381"/>
    <w:rsid w:val="001636EC"/>
    <w:rsid w:val="00163AA7"/>
    <w:rsid w:val="00165A31"/>
    <w:rsid w:val="00172A79"/>
    <w:rsid w:val="00174D81"/>
    <w:rsid w:val="00175E5B"/>
    <w:rsid w:val="00176317"/>
    <w:rsid w:val="00180717"/>
    <w:rsid w:val="001833D9"/>
    <w:rsid w:val="00194FB3"/>
    <w:rsid w:val="00197B62"/>
    <w:rsid w:val="001A4E4A"/>
    <w:rsid w:val="001A5F61"/>
    <w:rsid w:val="001B1B4F"/>
    <w:rsid w:val="001B40E1"/>
    <w:rsid w:val="001B6F25"/>
    <w:rsid w:val="001C0E82"/>
    <w:rsid w:val="001C4D90"/>
    <w:rsid w:val="001C5816"/>
    <w:rsid w:val="001D0E78"/>
    <w:rsid w:val="001D282F"/>
    <w:rsid w:val="001D745B"/>
    <w:rsid w:val="001E4946"/>
    <w:rsid w:val="001F56E7"/>
    <w:rsid w:val="001F5A1D"/>
    <w:rsid w:val="001F6463"/>
    <w:rsid w:val="001F78EC"/>
    <w:rsid w:val="002026CB"/>
    <w:rsid w:val="00210438"/>
    <w:rsid w:val="00213D15"/>
    <w:rsid w:val="00217808"/>
    <w:rsid w:val="002236F6"/>
    <w:rsid w:val="00232A07"/>
    <w:rsid w:val="00245908"/>
    <w:rsid w:val="00246F89"/>
    <w:rsid w:val="002541DC"/>
    <w:rsid w:val="00254DC7"/>
    <w:rsid w:val="00256690"/>
    <w:rsid w:val="00257CE8"/>
    <w:rsid w:val="002604F3"/>
    <w:rsid w:val="002642C1"/>
    <w:rsid w:val="002653FB"/>
    <w:rsid w:val="00265436"/>
    <w:rsid w:val="002738C1"/>
    <w:rsid w:val="00285104"/>
    <w:rsid w:val="002A0315"/>
    <w:rsid w:val="002A04C2"/>
    <w:rsid w:val="002A4AE3"/>
    <w:rsid w:val="002A5F48"/>
    <w:rsid w:val="002B2A7B"/>
    <w:rsid w:val="002B404B"/>
    <w:rsid w:val="002B4B5D"/>
    <w:rsid w:val="002B543A"/>
    <w:rsid w:val="002C2042"/>
    <w:rsid w:val="002C3134"/>
    <w:rsid w:val="002C503A"/>
    <w:rsid w:val="002D03E6"/>
    <w:rsid w:val="002D2023"/>
    <w:rsid w:val="002D46DD"/>
    <w:rsid w:val="002D67B9"/>
    <w:rsid w:val="002D6A02"/>
    <w:rsid w:val="002E2F14"/>
    <w:rsid w:val="002E3E1E"/>
    <w:rsid w:val="002E4AFA"/>
    <w:rsid w:val="002E5891"/>
    <w:rsid w:val="002E694E"/>
    <w:rsid w:val="002E79A2"/>
    <w:rsid w:val="002F43F9"/>
    <w:rsid w:val="002F7D49"/>
    <w:rsid w:val="003025FA"/>
    <w:rsid w:val="00303330"/>
    <w:rsid w:val="00313433"/>
    <w:rsid w:val="0031535F"/>
    <w:rsid w:val="00322CE8"/>
    <w:rsid w:val="00325F5E"/>
    <w:rsid w:val="0032722A"/>
    <w:rsid w:val="003333DE"/>
    <w:rsid w:val="00333B75"/>
    <w:rsid w:val="00337B31"/>
    <w:rsid w:val="003401C1"/>
    <w:rsid w:val="003413BD"/>
    <w:rsid w:val="003436E8"/>
    <w:rsid w:val="00345F25"/>
    <w:rsid w:val="0035752F"/>
    <w:rsid w:val="00364710"/>
    <w:rsid w:val="003772C2"/>
    <w:rsid w:val="003816C1"/>
    <w:rsid w:val="00384C9B"/>
    <w:rsid w:val="0039448A"/>
    <w:rsid w:val="0039464E"/>
    <w:rsid w:val="00394FB7"/>
    <w:rsid w:val="003A0536"/>
    <w:rsid w:val="003A51E7"/>
    <w:rsid w:val="003B41A3"/>
    <w:rsid w:val="003B6822"/>
    <w:rsid w:val="003B7323"/>
    <w:rsid w:val="003B7A5F"/>
    <w:rsid w:val="003C0966"/>
    <w:rsid w:val="003C54EB"/>
    <w:rsid w:val="003D132A"/>
    <w:rsid w:val="003D1814"/>
    <w:rsid w:val="003D2E7B"/>
    <w:rsid w:val="003D3372"/>
    <w:rsid w:val="003D387E"/>
    <w:rsid w:val="003D4146"/>
    <w:rsid w:val="003D7277"/>
    <w:rsid w:val="003E0BCB"/>
    <w:rsid w:val="003E2306"/>
    <w:rsid w:val="003E35CA"/>
    <w:rsid w:val="003F0558"/>
    <w:rsid w:val="003F3436"/>
    <w:rsid w:val="003F670F"/>
    <w:rsid w:val="003F78FC"/>
    <w:rsid w:val="00410D27"/>
    <w:rsid w:val="00410EAB"/>
    <w:rsid w:val="00412AD5"/>
    <w:rsid w:val="004131A4"/>
    <w:rsid w:val="00417430"/>
    <w:rsid w:val="00420B2B"/>
    <w:rsid w:val="00420E9B"/>
    <w:rsid w:val="00421B0B"/>
    <w:rsid w:val="00421F08"/>
    <w:rsid w:val="00423580"/>
    <w:rsid w:val="00427AAE"/>
    <w:rsid w:val="00430611"/>
    <w:rsid w:val="00440C23"/>
    <w:rsid w:val="00442EFD"/>
    <w:rsid w:val="00444500"/>
    <w:rsid w:val="00444AC3"/>
    <w:rsid w:val="00445BDA"/>
    <w:rsid w:val="00447336"/>
    <w:rsid w:val="00447754"/>
    <w:rsid w:val="00450141"/>
    <w:rsid w:val="00453CD7"/>
    <w:rsid w:val="00453EB2"/>
    <w:rsid w:val="0045465D"/>
    <w:rsid w:val="00454D9C"/>
    <w:rsid w:val="00463C73"/>
    <w:rsid w:val="00464711"/>
    <w:rsid w:val="00476CCC"/>
    <w:rsid w:val="004873C2"/>
    <w:rsid w:val="00487DEF"/>
    <w:rsid w:val="004B58A8"/>
    <w:rsid w:val="004C03E6"/>
    <w:rsid w:val="004C3839"/>
    <w:rsid w:val="004D7E25"/>
    <w:rsid w:val="004E53CE"/>
    <w:rsid w:val="004F4F88"/>
    <w:rsid w:val="004F52C3"/>
    <w:rsid w:val="004F5DFD"/>
    <w:rsid w:val="004F5E24"/>
    <w:rsid w:val="005003AC"/>
    <w:rsid w:val="00503813"/>
    <w:rsid w:val="005050E9"/>
    <w:rsid w:val="00505955"/>
    <w:rsid w:val="00506B8A"/>
    <w:rsid w:val="00510DAD"/>
    <w:rsid w:val="00514E52"/>
    <w:rsid w:val="0051593E"/>
    <w:rsid w:val="00517E53"/>
    <w:rsid w:val="00542830"/>
    <w:rsid w:val="00542C49"/>
    <w:rsid w:val="00544B6C"/>
    <w:rsid w:val="005456D8"/>
    <w:rsid w:val="00550D4F"/>
    <w:rsid w:val="005624CC"/>
    <w:rsid w:val="0056506F"/>
    <w:rsid w:val="00565326"/>
    <w:rsid w:val="0056543F"/>
    <w:rsid w:val="005674E8"/>
    <w:rsid w:val="005679D8"/>
    <w:rsid w:val="00567F4F"/>
    <w:rsid w:val="00575709"/>
    <w:rsid w:val="00576521"/>
    <w:rsid w:val="005820A2"/>
    <w:rsid w:val="005824D9"/>
    <w:rsid w:val="00584E27"/>
    <w:rsid w:val="00584E29"/>
    <w:rsid w:val="00586037"/>
    <w:rsid w:val="005860FC"/>
    <w:rsid w:val="00592BA5"/>
    <w:rsid w:val="00593825"/>
    <w:rsid w:val="00595D8D"/>
    <w:rsid w:val="005A14A2"/>
    <w:rsid w:val="005A198C"/>
    <w:rsid w:val="005A258C"/>
    <w:rsid w:val="005A732C"/>
    <w:rsid w:val="005B199A"/>
    <w:rsid w:val="005B6747"/>
    <w:rsid w:val="005B7D82"/>
    <w:rsid w:val="005C12E0"/>
    <w:rsid w:val="005C304A"/>
    <w:rsid w:val="005C7B73"/>
    <w:rsid w:val="005D02AF"/>
    <w:rsid w:val="005D0470"/>
    <w:rsid w:val="005D1AD4"/>
    <w:rsid w:val="005D1B14"/>
    <w:rsid w:val="005D4353"/>
    <w:rsid w:val="005D4FD3"/>
    <w:rsid w:val="005D53F5"/>
    <w:rsid w:val="005D6C36"/>
    <w:rsid w:val="005E4268"/>
    <w:rsid w:val="005E4CE3"/>
    <w:rsid w:val="005F2B2F"/>
    <w:rsid w:val="005F3E5C"/>
    <w:rsid w:val="005F4267"/>
    <w:rsid w:val="005F51C9"/>
    <w:rsid w:val="005F535B"/>
    <w:rsid w:val="006002FE"/>
    <w:rsid w:val="00601C5A"/>
    <w:rsid w:val="00603C79"/>
    <w:rsid w:val="006076A6"/>
    <w:rsid w:val="0062188A"/>
    <w:rsid w:val="006307C9"/>
    <w:rsid w:val="0063123C"/>
    <w:rsid w:val="00631564"/>
    <w:rsid w:val="0063396C"/>
    <w:rsid w:val="00637D90"/>
    <w:rsid w:val="00642A47"/>
    <w:rsid w:val="006469C3"/>
    <w:rsid w:val="00650600"/>
    <w:rsid w:val="00653639"/>
    <w:rsid w:val="00653BAB"/>
    <w:rsid w:val="006542F1"/>
    <w:rsid w:val="00664005"/>
    <w:rsid w:val="006663B4"/>
    <w:rsid w:val="006670F7"/>
    <w:rsid w:val="006714C4"/>
    <w:rsid w:val="00677BB6"/>
    <w:rsid w:val="0068058B"/>
    <w:rsid w:val="00691DF5"/>
    <w:rsid w:val="006938D0"/>
    <w:rsid w:val="00694ADB"/>
    <w:rsid w:val="00696980"/>
    <w:rsid w:val="006969E6"/>
    <w:rsid w:val="00697541"/>
    <w:rsid w:val="006A078E"/>
    <w:rsid w:val="006A0EB4"/>
    <w:rsid w:val="006A45B0"/>
    <w:rsid w:val="006A691C"/>
    <w:rsid w:val="006B428D"/>
    <w:rsid w:val="006C2B13"/>
    <w:rsid w:val="006C45B7"/>
    <w:rsid w:val="006C5203"/>
    <w:rsid w:val="006C5BE9"/>
    <w:rsid w:val="006C5C1B"/>
    <w:rsid w:val="006D08C7"/>
    <w:rsid w:val="006D0C5D"/>
    <w:rsid w:val="006F084D"/>
    <w:rsid w:val="006F20AC"/>
    <w:rsid w:val="006F2E54"/>
    <w:rsid w:val="006F459D"/>
    <w:rsid w:val="006F6B86"/>
    <w:rsid w:val="0070007D"/>
    <w:rsid w:val="00703465"/>
    <w:rsid w:val="00712112"/>
    <w:rsid w:val="007202F5"/>
    <w:rsid w:val="0072132F"/>
    <w:rsid w:val="00725FA6"/>
    <w:rsid w:val="007266F4"/>
    <w:rsid w:val="00730593"/>
    <w:rsid w:val="00734C58"/>
    <w:rsid w:val="00735D98"/>
    <w:rsid w:val="00736D75"/>
    <w:rsid w:val="00737B01"/>
    <w:rsid w:val="00746358"/>
    <w:rsid w:val="00754633"/>
    <w:rsid w:val="007606F0"/>
    <w:rsid w:val="0076292C"/>
    <w:rsid w:val="0077106D"/>
    <w:rsid w:val="00773E25"/>
    <w:rsid w:val="007777E1"/>
    <w:rsid w:val="0078030D"/>
    <w:rsid w:val="007826AD"/>
    <w:rsid w:val="0078280B"/>
    <w:rsid w:val="00782D05"/>
    <w:rsid w:val="00792C5D"/>
    <w:rsid w:val="00796E71"/>
    <w:rsid w:val="00797491"/>
    <w:rsid w:val="007A6F06"/>
    <w:rsid w:val="007B2400"/>
    <w:rsid w:val="007B52FB"/>
    <w:rsid w:val="007B72A8"/>
    <w:rsid w:val="007C06E6"/>
    <w:rsid w:val="007C1EF6"/>
    <w:rsid w:val="007C5A1F"/>
    <w:rsid w:val="007D094F"/>
    <w:rsid w:val="007D114A"/>
    <w:rsid w:val="007D2B1A"/>
    <w:rsid w:val="007D5363"/>
    <w:rsid w:val="007E106D"/>
    <w:rsid w:val="007E2A3B"/>
    <w:rsid w:val="007F139D"/>
    <w:rsid w:val="007F229B"/>
    <w:rsid w:val="007F397C"/>
    <w:rsid w:val="007F40F7"/>
    <w:rsid w:val="00810BF2"/>
    <w:rsid w:val="00811FEA"/>
    <w:rsid w:val="00812212"/>
    <w:rsid w:val="00814BB2"/>
    <w:rsid w:val="00815A96"/>
    <w:rsid w:val="0081729A"/>
    <w:rsid w:val="00817CC9"/>
    <w:rsid w:val="00821F23"/>
    <w:rsid w:val="00823A41"/>
    <w:rsid w:val="00824334"/>
    <w:rsid w:val="00825499"/>
    <w:rsid w:val="00826239"/>
    <w:rsid w:val="00831D6A"/>
    <w:rsid w:val="00834BDE"/>
    <w:rsid w:val="00844FF5"/>
    <w:rsid w:val="008457F5"/>
    <w:rsid w:val="008460B9"/>
    <w:rsid w:val="00846784"/>
    <w:rsid w:val="00855B21"/>
    <w:rsid w:val="00856893"/>
    <w:rsid w:val="00876C9C"/>
    <w:rsid w:val="008850C5"/>
    <w:rsid w:val="00891D58"/>
    <w:rsid w:val="008A0ED2"/>
    <w:rsid w:val="008A18F0"/>
    <w:rsid w:val="008A5973"/>
    <w:rsid w:val="008C0C6F"/>
    <w:rsid w:val="008C243D"/>
    <w:rsid w:val="008D096C"/>
    <w:rsid w:val="008D3981"/>
    <w:rsid w:val="008D432C"/>
    <w:rsid w:val="008F0CBF"/>
    <w:rsid w:val="008F191A"/>
    <w:rsid w:val="008F533C"/>
    <w:rsid w:val="008F5BC4"/>
    <w:rsid w:val="00900719"/>
    <w:rsid w:val="00901B3E"/>
    <w:rsid w:val="00914A7A"/>
    <w:rsid w:val="00920C73"/>
    <w:rsid w:val="0092126D"/>
    <w:rsid w:val="00921E16"/>
    <w:rsid w:val="00923EB1"/>
    <w:rsid w:val="00926A56"/>
    <w:rsid w:val="00927191"/>
    <w:rsid w:val="00927C5B"/>
    <w:rsid w:val="00931B64"/>
    <w:rsid w:val="00933841"/>
    <w:rsid w:val="009412DB"/>
    <w:rsid w:val="00943F71"/>
    <w:rsid w:val="00944370"/>
    <w:rsid w:val="00951BB7"/>
    <w:rsid w:val="00953CA2"/>
    <w:rsid w:val="00953D1C"/>
    <w:rsid w:val="00956583"/>
    <w:rsid w:val="009619F2"/>
    <w:rsid w:val="009657BE"/>
    <w:rsid w:val="00970564"/>
    <w:rsid w:val="00984A05"/>
    <w:rsid w:val="00990BDC"/>
    <w:rsid w:val="009966EC"/>
    <w:rsid w:val="009A1A94"/>
    <w:rsid w:val="009A1CA5"/>
    <w:rsid w:val="009A40FA"/>
    <w:rsid w:val="009A4EA7"/>
    <w:rsid w:val="009A56CA"/>
    <w:rsid w:val="009A779C"/>
    <w:rsid w:val="009B70B2"/>
    <w:rsid w:val="009C0076"/>
    <w:rsid w:val="009C5A01"/>
    <w:rsid w:val="009C6C03"/>
    <w:rsid w:val="009D0928"/>
    <w:rsid w:val="009D338A"/>
    <w:rsid w:val="009D4364"/>
    <w:rsid w:val="009D711A"/>
    <w:rsid w:val="009D7878"/>
    <w:rsid w:val="009E0C19"/>
    <w:rsid w:val="009E3900"/>
    <w:rsid w:val="009E70C3"/>
    <w:rsid w:val="009F4FB6"/>
    <w:rsid w:val="009F5D5D"/>
    <w:rsid w:val="00A03710"/>
    <w:rsid w:val="00A06F82"/>
    <w:rsid w:val="00A16F5B"/>
    <w:rsid w:val="00A203B8"/>
    <w:rsid w:val="00A204BC"/>
    <w:rsid w:val="00A20A36"/>
    <w:rsid w:val="00A26E95"/>
    <w:rsid w:val="00A27625"/>
    <w:rsid w:val="00A27D35"/>
    <w:rsid w:val="00A34321"/>
    <w:rsid w:val="00A343E5"/>
    <w:rsid w:val="00A36819"/>
    <w:rsid w:val="00A36C1B"/>
    <w:rsid w:val="00A510DD"/>
    <w:rsid w:val="00A51981"/>
    <w:rsid w:val="00A63118"/>
    <w:rsid w:val="00A641DC"/>
    <w:rsid w:val="00A66EAA"/>
    <w:rsid w:val="00A80656"/>
    <w:rsid w:val="00A807B8"/>
    <w:rsid w:val="00A81712"/>
    <w:rsid w:val="00A820B4"/>
    <w:rsid w:val="00A84BB5"/>
    <w:rsid w:val="00A85DAB"/>
    <w:rsid w:val="00A906E4"/>
    <w:rsid w:val="00A927C0"/>
    <w:rsid w:val="00A950B9"/>
    <w:rsid w:val="00A957AA"/>
    <w:rsid w:val="00A97158"/>
    <w:rsid w:val="00A978C3"/>
    <w:rsid w:val="00AB2F0B"/>
    <w:rsid w:val="00AB4C8C"/>
    <w:rsid w:val="00AB5151"/>
    <w:rsid w:val="00AC1F8C"/>
    <w:rsid w:val="00AD117F"/>
    <w:rsid w:val="00AD3AA1"/>
    <w:rsid w:val="00AD539D"/>
    <w:rsid w:val="00AE4060"/>
    <w:rsid w:val="00AE4F24"/>
    <w:rsid w:val="00AE5602"/>
    <w:rsid w:val="00AF3247"/>
    <w:rsid w:val="00AF4126"/>
    <w:rsid w:val="00AF62E9"/>
    <w:rsid w:val="00AF6FDE"/>
    <w:rsid w:val="00AF7D32"/>
    <w:rsid w:val="00B01B72"/>
    <w:rsid w:val="00B026E4"/>
    <w:rsid w:val="00B11427"/>
    <w:rsid w:val="00B11A40"/>
    <w:rsid w:val="00B1718D"/>
    <w:rsid w:val="00B17678"/>
    <w:rsid w:val="00B23D0F"/>
    <w:rsid w:val="00B2569F"/>
    <w:rsid w:val="00B30ED1"/>
    <w:rsid w:val="00B328B4"/>
    <w:rsid w:val="00B32B44"/>
    <w:rsid w:val="00B33154"/>
    <w:rsid w:val="00B36E84"/>
    <w:rsid w:val="00B421A3"/>
    <w:rsid w:val="00B51935"/>
    <w:rsid w:val="00B5428A"/>
    <w:rsid w:val="00B61C03"/>
    <w:rsid w:val="00B637A7"/>
    <w:rsid w:val="00B6421E"/>
    <w:rsid w:val="00B64428"/>
    <w:rsid w:val="00B6497C"/>
    <w:rsid w:val="00B64F23"/>
    <w:rsid w:val="00B65AA7"/>
    <w:rsid w:val="00B65C73"/>
    <w:rsid w:val="00B81AC4"/>
    <w:rsid w:val="00B83763"/>
    <w:rsid w:val="00B84412"/>
    <w:rsid w:val="00B9127F"/>
    <w:rsid w:val="00B91D37"/>
    <w:rsid w:val="00B92605"/>
    <w:rsid w:val="00B97217"/>
    <w:rsid w:val="00BA18E3"/>
    <w:rsid w:val="00BA2917"/>
    <w:rsid w:val="00BB0612"/>
    <w:rsid w:val="00BB0926"/>
    <w:rsid w:val="00BB2E4F"/>
    <w:rsid w:val="00BB3A2E"/>
    <w:rsid w:val="00BB5537"/>
    <w:rsid w:val="00BC02D2"/>
    <w:rsid w:val="00BC40D1"/>
    <w:rsid w:val="00BC469C"/>
    <w:rsid w:val="00BC4DEF"/>
    <w:rsid w:val="00BC668B"/>
    <w:rsid w:val="00BD255E"/>
    <w:rsid w:val="00BD26FD"/>
    <w:rsid w:val="00BD6AC6"/>
    <w:rsid w:val="00BE3FF3"/>
    <w:rsid w:val="00BE68D5"/>
    <w:rsid w:val="00BF1645"/>
    <w:rsid w:val="00BF7C90"/>
    <w:rsid w:val="00C0349F"/>
    <w:rsid w:val="00C10285"/>
    <w:rsid w:val="00C10934"/>
    <w:rsid w:val="00C16639"/>
    <w:rsid w:val="00C176FE"/>
    <w:rsid w:val="00C20B41"/>
    <w:rsid w:val="00C25449"/>
    <w:rsid w:val="00C320E1"/>
    <w:rsid w:val="00C32B86"/>
    <w:rsid w:val="00C35439"/>
    <w:rsid w:val="00C41283"/>
    <w:rsid w:val="00C45A4D"/>
    <w:rsid w:val="00C45AC6"/>
    <w:rsid w:val="00C47283"/>
    <w:rsid w:val="00C5280A"/>
    <w:rsid w:val="00C52AD5"/>
    <w:rsid w:val="00C55AA2"/>
    <w:rsid w:val="00C619D6"/>
    <w:rsid w:val="00C71F44"/>
    <w:rsid w:val="00C71FE6"/>
    <w:rsid w:val="00C7456E"/>
    <w:rsid w:val="00C753B9"/>
    <w:rsid w:val="00C7623E"/>
    <w:rsid w:val="00C774C3"/>
    <w:rsid w:val="00C80A64"/>
    <w:rsid w:val="00C82ACC"/>
    <w:rsid w:val="00C832B0"/>
    <w:rsid w:val="00C92169"/>
    <w:rsid w:val="00C94F4F"/>
    <w:rsid w:val="00CA150D"/>
    <w:rsid w:val="00CB0A2C"/>
    <w:rsid w:val="00CB0B93"/>
    <w:rsid w:val="00CB1801"/>
    <w:rsid w:val="00CB2ABB"/>
    <w:rsid w:val="00CB342B"/>
    <w:rsid w:val="00CB6BCD"/>
    <w:rsid w:val="00CC0336"/>
    <w:rsid w:val="00CC0ACA"/>
    <w:rsid w:val="00CC0D94"/>
    <w:rsid w:val="00CC5EC5"/>
    <w:rsid w:val="00CD657D"/>
    <w:rsid w:val="00CE1217"/>
    <w:rsid w:val="00CE547F"/>
    <w:rsid w:val="00CF3272"/>
    <w:rsid w:val="00D00338"/>
    <w:rsid w:val="00D018FD"/>
    <w:rsid w:val="00D027D6"/>
    <w:rsid w:val="00D03180"/>
    <w:rsid w:val="00D140C6"/>
    <w:rsid w:val="00D15EF2"/>
    <w:rsid w:val="00D22A73"/>
    <w:rsid w:val="00D27D4B"/>
    <w:rsid w:val="00D315ED"/>
    <w:rsid w:val="00D44ABB"/>
    <w:rsid w:val="00D460F3"/>
    <w:rsid w:val="00D47DDB"/>
    <w:rsid w:val="00D52DCE"/>
    <w:rsid w:val="00D613D5"/>
    <w:rsid w:val="00D61F8F"/>
    <w:rsid w:val="00D678BE"/>
    <w:rsid w:val="00D705C8"/>
    <w:rsid w:val="00D70A70"/>
    <w:rsid w:val="00D74257"/>
    <w:rsid w:val="00D75211"/>
    <w:rsid w:val="00D909FD"/>
    <w:rsid w:val="00D91244"/>
    <w:rsid w:val="00D9211A"/>
    <w:rsid w:val="00D93109"/>
    <w:rsid w:val="00D97B4F"/>
    <w:rsid w:val="00DA087B"/>
    <w:rsid w:val="00DA3B56"/>
    <w:rsid w:val="00DB415B"/>
    <w:rsid w:val="00DB7182"/>
    <w:rsid w:val="00DC0590"/>
    <w:rsid w:val="00DC25DF"/>
    <w:rsid w:val="00DC2B14"/>
    <w:rsid w:val="00DC44DE"/>
    <w:rsid w:val="00DC5CA3"/>
    <w:rsid w:val="00DC746D"/>
    <w:rsid w:val="00DC7C60"/>
    <w:rsid w:val="00DC7ED9"/>
    <w:rsid w:val="00DD3766"/>
    <w:rsid w:val="00DD38F1"/>
    <w:rsid w:val="00DD3BC4"/>
    <w:rsid w:val="00DE465A"/>
    <w:rsid w:val="00DE599E"/>
    <w:rsid w:val="00DE5CBE"/>
    <w:rsid w:val="00DE65AE"/>
    <w:rsid w:val="00DF0036"/>
    <w:rsid w:val="00DF588A"/>
    <w:rsid w:val="00DF7B40"/>
    <w:rsid w:val="00DF7BF6"/>
    <w:rsid w:val="00E0074D"/>
    <w:rsid w:val="00E04169"/>
    <w:rsid w:val="00E05D8F"/>
    <w:rsid w:val="00E1001F"/>
    <w:rsid w:val="00E134B4"/>
    <w:rsid w:val="00E221A7"/>
    <w:rsid w:val="00E224F7"/>
    <w:rsid w:val="00E2435F"/>
    <w:rsid w:val="00E26DCA"/>
    <w:rsid w:val="00E307FB"/>
    <w:rsid w:val="00E34612"/>
    <w:rsid w:val="00E3466D"/>
    <w:rsid w:val="00E362DB"/>
    <w:rsid w:val="00E36DC2"/>
    <w:rsid w:val="00E420F1"/>
    <w:rsid w:val="00E44906"/>
    <w:rsid w:val="00E464FE"/>
    <w:rsid w:val="00E51DA9"/>
    <w:rsid w:val="00E52FB8"/>
    <w:rsid w:val="00E53884"/>
    <w:rsid w:val="00E5745C"/>
    <w:rsid w:val="00E5765A"/>
    <w:rsid w:val="00E65361"/>
    <w:rsid w:val="00E65928"/>
    <w:rsid w:val="00E66D4F"/>
    <w:rsid w:val="00E6719F"/>
    <w:rsid w:val="00E81E77"/>
    <w:rsid w:val="00E83F2F"/>
    <w:rsid w:val="00E8415A"/>
    <w:rsid w:val="00E848A5"/>
    <w:rsid w:val="00E90C34"/>
    <w:rsid w:val="00E9288C"/>
    <w:rsid w:val="00EA22C9"/>
    <w:rsid w:val="00EA22E9"/>
    <w:rsid w:val="00EA4580"/>
    <w:rsid w:val="00EA47F1"/>
    <w:rsid w:val="00EA7E01"/>
    <w:rsid w:val="00EB4DDE"/>
    <w:rsid w:val="00EB5514"/>
    <w:rsid w:val="00EC1204"/>
    <w:rsid w:val="00EC1799"/>
    <w:rsid w:val="00EC1F60"/>
    <w:rsid w:val="00EC23A3"/>
    <w:rsid w:val="00EC3E53"/>
    <w:rsid w:val="00EE726A"/>
    <w:rsid w:val="00EF083A"/>
    <w:rsid w:val="00F0152F"/>
    <w:rsid w:val="00F07459"/>
    <w:rsid w:val="00F11CDF"/>
    <w:rsid w:val="00F160A1"/>
    <w:rsid w:val="00F20EF8"/>
    <w:rsid w:val="00F25203"/>
    <w:rsid w:val="00F27E3A"/>
    <w:rsid w:val="00F307D0"/>
    <w:rsid w:val="00F32E0F"/>
    <w:rsid w:val="00F33DB0"/>
    <w:rsid w:val="00F41602"/>
    <w:rsid w:val="00F439EB"/>
    <w:rsid w:val="00F54018"/>
    <w:rsid w:val="00F55206"/>
    <w:rsid w:val="00F57529"/>
    <w:rsid w:val="00F619FE"/>
    <w:rsid w:val="00F65C43"/>
    <w:rsid w:val="00F67378"/>
    <w:rsid w:val="00F6768C"/>
    <w:rsid w:val="00F70FC0"/>
    <w:rsid w:val="00F71065"/>
    <w:rsid w:val="00F714A9"/>
    <w:rsid w:val="00F755E9"/>
    <w:rsid w:val="00F80267"/>
    <w:rsid w:val="00F81DE3"/>
    <w:rsid w:val="00F906FE"/>
    <w:rsid w:val="00F90951"/>
    <w:rsid w:val="00F91248"/>
    <w:rsid w:val="00F9133A"/>
    <w:rsid w:val="00F94663"/>
    <w:rsid w:val="00F946C0"/>
    <w:rsid w:val="00F971AD"/>
    <w:rsid w:val="00FA60C2"/>
    <w:rsid w:val="00FB3E2C"/>
    <w:rsid w:val="00FB4994"/>
    <w:rsid w:val="00FB5C29"/>
    <w:rsid w:val="00FC09A7"/>
    <w:rsid w:val="00FC2B3A"/>
    <w:rsid w:val="00FC65BC"/>
    <w:rsid w:val="00FC6849"/>
    <w:rsid w:val="00FD097B"/>
    <w:rsid w:val="00FE05F5"/>
    <w:rsid w:val="00FE324F"/>
    <w:rsid w:val="00FE48A3"/>
    <w:rsid w:val="00FF1E7D"/>
    <w:rsid w:val="00FF3922"/>
    <w:rsid w:val="EBBA2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56" w:beforeLines="50" w:line="560" w:lineRule="exact"/>
      <w:ind w:firstLine="640" w:firstLineChars="200"/>
      <w:jc w:val="both"/>
    </w:pPr>
    <w:rPr>
      <w:rFonts w:ascii="仿宋_GB2312" w:hAnsi="仿宋" w:eastAsia="仿宋_GB2312" w:cs="Times New Roman"/>
      <w:kern w:val="0"/>
      <w:sz w:val="32"/>
      <w:szCs w:val="32"/>
      <w:lang w:val="en-US" w:eastAsia="zh-CN" w:bidi="ar-SA"/>
    </w:rPr>
  </w:style>
  <w:style w:type="paragraph" w:styleId="2">
    <w:name w:val="heading 1"/>
    <w:basedOn w:val="1"/>
    <w:next w:val="1"/>
    <w:link w:val="28"/>
    <w:qFormat/>
    <w:uiPriority w:val="9"/>
    <w:pPr>
      <w:keepNext/>
      <w:keepLines/>
      <w:spacing w:before="312" w:beforeLines="100"/>
      <w:ind w:firstLine="0" w:firstLineChars="0"/>
      <w:jc w:val="center"/>
      <w:outlineLvl w:val="0"/>
    </w:pPr>
    <w:rPr>
      <w:rFonts w:ascii="黑体" w:hAnsi="黑体" w:eastAsia="黑体"/>
      <w:b/>
      <w:bCs/>
      <w:kern w:val="44"/>
      <w:sz w:val="36"/>
      <w:szCs w:val="44"/>
    </w:rPr>
  </w:style>
  <w:style w:type="paragraph" w:styleId="3">
    <w:name w:val="heading 2"/>
    <w:basedOn w:val="1"/>
    <w:next w:val="1"/>
    <w:link w:val="29"/>
    <w:unhideWhenUsed/>
    <w:qFormat/>
    <w:uiPriority w:val="9"/>
    <w:pPr>
      <w:keepNext/>
      <w:keepLines/>
      <w:ind w:firstLine="643"/>
      <w:outlineLvl w:val="1"/>
    </w:pPr>
    <w:rPr>
      <w:rFonts w:ascii="黑体" w:hAnsi="黑体" w:eastAsia="黑体" w:cstheme="majorBidi"/>
      <w:b/>
      <w:bCs/>
    </w:rPr>
  </w:style>
  <w:style w:type="paragraph" w:styleId="4">
    <w:name w:val="heading 3"/>
    <w:basedOn w:val="1"/>
    <w:next w:val="1"/>
    <w:link w:val="30"/>
    <w:unhideWhenUsed/>
    <w:qFormat/>
    <w:uiPriority w:val="9"/>
    <w:pPr>
      <w:keepNext/>
      <w:keepLines/>
      <w:ind w:firstLine="643" w:firstLineChars="0"/>
      <w:outlineLvl w:val="2"/>
    </w:pPr>
    <w:rPr>
      <w:rFonts w:ascii="楷体" w:hAnsi="楷体" w:eastAsia="楷体"/>
      <w:b/>
      <w:bCs/>
    </w:rPr>
  </w:style>
  <w:style w:type="paragraph" w:styleId="5">
    <w:name w:val="heading 4"/>
    <w:basedOn w:val="1"/>
    <w:next w:val="1"/>
    <w:link w:val="33"/>
    <w:unhideWhenUsed/>
    <w:qFormat/>
    <w:uiPriority w:val="9"/>
    <w:pPr>
      <w:keepNext/>
      <w:keepLines/>
      <w:ind w:firstLine="643"/>
      <w:outlineLvl w:val="3"/>
    </w:pPr>
    <w:rPr>
      <w:rFonts w:ascii="仿宋" w:eastAsia="仿宋" w:cstheme="majorBidi"/>
      <w:b/>
      <w:bCs/>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spacing w:before="0"/>
      <w:ind w:left="1920"/>
      <w:jc w:val="left"/>
    </w:pPr>
    <w:rPr>
      <w:rFonts w:asciiTheme="minorHAnsi" w:hAnsiTheme="minorHAnsi" w:cstheme="minorHAnsi"/>
      <w:sz w:val="18"/>
      <w:szCs w:val="18"/>
    </w:rPr>
  </w:style>
  <w:style w:type="paragraph" w:styleId="7">
    <w:name w:val="caption"/>
    <w:basedOn w:val="1"/>
    <w:next w:val="1"/>
    <w:unhideWhenUsed/>
    <w:qFormat/>
    <w:uiPriority w:val="0"/>
    <w:rPr>
      <w:rFonts w:eastAsia="黑体" w:asciiTheme="majorHAnsi" w:hAnsiTheme="majorHAnsi" w:cstheme="majorBidi"/>
      <w:sz w:val="20"/>
      <w:szCs w:val="20"/>
    </w:rPr>
  </w:style>
  <w:style w:type="paragraph" w:styleId="8">
    <w:name w:val="annotation text"/>
    <w:basedOn w:val="1"/>
    <w:link w:val="44"/>
    <w:unhideWhenUsed/>
    <w:qFormat/>
    <w:uiPriority w:val="99"/>
    <w:pPr>
      <w:spacing w:before="0" w:beforeLines="0" w:line="240" w:lineRule="auto"/>
      <w:ind w:firstLine="0" w:firstLineChars="0"/>
      <w:jc w:val="left"/>
    </w:pPr>
    <w:rPr>
      <w:rFonts w:asciiTheme="minorHAnsi" w:hAnsiTheme="minorHAnsi" w:eastAsiaTheme="minorEastAsia" w:cstheme="minorBidi"/>
      <w:kern w:val="2"/>
      <w:sz w:val="21"/>
      <w:szCs w:val="22"/>
    </w:rPr>
  </w:style>
  <w:style w:type="paragraph" w:styleId="9">
    <w:name w:val="Body Text"/>
    <w:basedOn w:val="1"/>
    <w:next w:val="1"/>
    <w:link w:val="41"/>
    <w:unhideWhenUsed/>
    <w:qFormat/>
    <w:uiPriority w:val="99"/>
    <w:pPr>
      <w:spacing w:before="0" w:beforeLines="0" w:line="360" w:lineRule="auto"/>
      <w:ind w:firstLine="602"/>
    </w:pPr>
    <w:rPr>
      <w:rFonts w:ascii="仿宋" w:eastAsia="宋体"/>
      <w:kern w:val="2"/>
      <w:sz w:val="24"/>
      <w:szCs w:val="24"/>
    </w:rPr>
  </w:style>
  <w:style w:type="paragraph" w:styleId="10">
    <w:name w:val="toc 5"/>
    <w:basedOn w:val="1"/>
    <w:next w:val="1"/>
    <w:unhideWhenUsed/>
    <w:qFormat/>
    <w:uiPriority w:val="39"/>
    <w:pPr>
      <w:spacing w:before="0"/>
      <w:ind w:left="1280"/>
      <w:jc w:val="left"/>
    </w:pPr>
    <w:rPr>
      <w:rFonts w:asciiTheme="minorHAnsi" w:hAnsiTheme="minorHAnsi" w:cstheme="minorHAnsi"/>
      <w:sz w:val="18"/>
      <w:szCs w:val="18"/>
    </w:rPr>
  </w:style>
  <w:style w:type="paragraph" w:styleId="11">
    <w:name w:val="toc 3"/>
    <w:basedOn w:val="1"/>
    <w:next w:val="1"/>
    <w:unhideWhenUsed/>
    <w:qFormat/>
    <w:uiPriority w:val="39"/>
    <w:pPr>
      <w:spacing w:before="0"/>
      <w:ind w:left="640"/>
      <w:jc w:val="left"/>
    </w:pPr>
    <w:rPr>
      <w:rFonts w:asciiTheme="minorHAnsi" w:hAnsiTheme="minorHAnsi" w:cstheme="minorHAnsi"/>
      <w:i/>
      <w:iCs/>
      <w:sz w:val="20"/>
      <w:szCs w:val="20"/>
    </w:rPr>
  </w:style>
  <w:style w:type="paragraph" w:styleId="12">
    <w:name w:val="toc 8"/>
    <w:basedOn w:val="1"/>
    <w:next w:val="1"/>
    <w:unhideWhenUsed/>
    <w:qFormat/>
    <w:uiPriority w:val="39"/>
    <w:pPr>
      <w:spacing w:before="0"/>
      <w:ind w:left="2240"/>
      <w:jc w:val="left"/>
    </w:pPr>
    <w:rPr>
      <w:rFonts w:asciiTheme="minorHAnsi" w:hAnsiTheme="minorHAnsi" w:cstheme="minorHAnsi"/>
      <w:sz w:val="18"/>
      <w:szCs w:val="18"/>
    </w:rPr>
  </w:style>
  <w:style w:type="paragraph" w:styleId="13">
    <w:name w:val="Balloon Text"/>
    <w:basedOn w:val="1"/>
    <w:link w:val="40"/>
    <w:semiHidden/>
    <w:unhideWhenUsed/>
    <w:qFormat/>
    <w:uiPriority w:val="99"/>
    <w:pPr>
      <w:spacing w:before="0" w:line="240" w:lineRule="auto"/>
    </w:pPr>
    <w:rPr>
      <w:sz w:val="18"/>
      <w:szCs w:val="18"/>
    </w:rPr>
  </w:style>
  <w:style w:type="paragraph" w:styleId="14">
    <w:name w:val="footer"/>
    <w:basedOn w:val="1"/>
    <w:link w:val="35"/>
    <w:unhideWhenUsed/>
    <w:qFormat/>
    <w:uiPriority w:val="99"/>
    <w:pPr>
      <w:tabs>
        <w:tab w:val="center" w:pos="4153"/>
        <w:tab w:val="right" w:pos="8306"/>
      </w:tabs>
      <w:snapToGrid w:val="0"/>
      <w:spacing w:line="240" w:lineRule="atLeast"/>
      <w:jc w:val="left"/>
    </w:pPr>
    <w:rPr>
      <w:sz w:val="18"/>
      <w:szCs w:val="18"/>
    </w:rPr>
  </w:style>
  <w:style w:type="paragraph" w:styleId="15">
    <w:name w:val="header"/>
    <w:basedOn w:val="1"/>
    <w:link w:val="3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6">
    <w:name w:val="toc 1"/>
    <w:basedOn w:val="1"/>
    <w:next w:val="1"/>
    <w:unhideWhenUsed/>
    <w:qFormat/>
    <w:uiPriority w:val="39"/>
    <w:pPr>
      <w:tabs>
        <w:tab w:val="right" w:leader="dot" w:pos="8630"/>
      </w:tabs>
      <w:spacing w:before="120" w:line="240" w:lineRule="auto"/>
      <w:ind w:firstLine="0" w:firstLineChars="0"/>
      <w:jc w:val="left"/>
    </w:pPr>
    <w:rPr>
      <w:rFonts w:ascii="黑体" w:hAnsi="黑体" w:eastAsia="黑体" w:cstheme="minorHAnsi"/>
      <w:b/>
      <w:bCs/>
      <w:caps/>
      <w:sz w:val="30"/>
      <w:szCs w:val="30"/>
    </w:rPr>
  </w:style>
  <w:style w:type="paragraph" w:styleId="17">
    <w:name w:val="toc 4"/>
    <w:basedOn w:val="1"/>
    <w:next w:val="1"/>
    <w:unhideWhenUsed/>
    <w:qFormat/>
    <w:uiPriority w:val="39"/>
    <w:pPr>
      <w:spacing w:before="0"/>
      <w:ind w:left="960"/>
      <w:jc w:val="left"/>
    </w:pPr>
    <w:rPr>
      <w:rFonts w:asciiTheme="minorHAnsi" w:hAnsiTheme="minorHAnsi" w:cstheme="minorHAnsi"/>
      <w:sz w:val="18"/>
      <w:szCs w:val="18"/>
    </w:rPr>
  </w:style>
  <w:style w:type="paragraph" w:styleId="18">
    <w:name w:val="footnote text"/>
    <w:basedOn w:val="1"/>
    <w:link w:val="36"/>
    <w:unhideWhenUsed/>
    <w:qFormat/>
    <w:uiPriority w:val="99"/>
    <w:pPr>
      <w:snapToGrid w:val="0"/>
      <w:jc w:val="left"/>
    </w:pPr>
    <w:rPr>
      <w:sz w:val="18"/>
      <w:szCs w:val="18"/>
    </w:rPr>
  </w:style>
  <w:style w:type="paragraph" w:styleId="19">
    <w:name w:val="toc 6"/>
    <w:basedOn w:val="1"/>
    <w:next w:val="1"/>
    <w:unhideWhenUsed/>
    <w:qFormat/>
    <w:uiPriority w:val="39"/>
    <w:pPr>
      <w:spacing w:before="0"/>
      <w:ind w:left="1600"/>
      <w:jc w:val="left"/>
    </w:pPr>
    <w:rPr>
      <w:rFonts w:asciiTheme="minorHAnsi" w:hAnsiTheme="minorHAnsi" w:cstheme="minorHAnsi"/>
      <w:sz w:val="18"/>
      <w:szCs w:val="18"/>
    </w:rPr>
  </w:style>
  <w:style w:type="paragraph" w:styleId="20">
    <w:name w:val="toc 2"/>
    <w:basedOn w:val="1"/>
    <w:next w:val="1"/>
    <w:unhideWhenUsed/>
    <w:qFormat/>
    <w:uiPriority w:val="39"/>
    <w:pPr>
      <w:tabs>
        <w:tab w:val="right" w:leader="dot" w:pos="8630"/>
      </w:tabs>
      <w:spacing w:before="0" w:beforeLines="0"/>
      <w:ind w:left="159" w:firstLine="560"/>
      <w:jc w:val="left"/>
    </w:pPr>
    <w:rPr>
      <w:rFonts w:asciiTheme="minorHAnsi" w:hAnsiTheme="minorHAnsi" w:cstheme="minorHAnsi"/>
      <w:smallCaps/>
      <w:sz w:val="28"/>
      <w:szCs w:val="28"/>
    </w:rPr>
  </w:style>
  <w:style w:type="paragraph" w:styleId="21">
    <w:name w:val="toc 9"/>
    <w:basedOn w:val="1"/>
    <w:next w:val="1"/>
    <w:unhideWhenUsed/>
    <w:qFormat/>
    <w:uiPriority w:val="39"/>
    <w:pPr>
      <w:spacing w:before="0"/>
      <w:ind w:left="2560"/>
      <w:jc w:val="left"/>
    </w:pPr>
    <w:rPr>
      <w:rFonts w:asciiTheme="minorHAnsi" w:hAnsiTheme="minorHAnsi" w:cstheme="minorHAnsi"/>
      <w:sz w:val="18"/>
      <w:szCs w:val="18"/>
    </w:rPr>
  </w:style>
  <w:style w:type="paragraph" w:styleId="22">
    <w:name w:val="Normal (Web)"/>
    <w:basedOn w:val="1"/>
    <w:semiHidden/>
    <w:unhideWhenUsed/>
    <w:qFormat/>
    <w:uiPriority w:val="99"/>
    <w:pPr>
      <w:widowControl/>
      <w:spacing w:before="100" w:beforeLines="0" w:beforeAutospacing="1" w:after="100" w:afterAutospacing="1" w:line="240" w:lineRule="auto"/>
      <w:ind w:firstLine="0" w:firstLineChars="0"/>
      <w:jc w:val="left"/>
    </w:pPr>
    <w:rPr>
      <w:rFonts w:ascii="宋体" w:hAnsi="宋体" w:eastAsia="宋体" w:cs="宋体"/>
      <w:sz w:val="24"/>
      <w:szCs w:val="24"/>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basedOn w:val="25"/>
    <w:unhideWhenUsed/>
    <w:qFormat/>
    <w:uiPriority w:val="99"/>
    <w:rPr>
      <w:color w:val="0563C1" w:themeColor="hyperlink"/>
      <w:u w:val="single"/>
      <w14:textFill>
        <w14:solidFill>
          <w14:schemeClr w14:val="hlink"/>
        </w14:solidFill>
      </w14:textFill>
    </w:rPr>
  </w:style>
  <w:style w:type="character" w:styleId="27">
    <w:name w:val="footnote reference"/>
    <w:basedOn w:val="25"/>
    <w:unhideWhenUsed/>
    <w:qFormat/>
    <w:uiPriority w:val="99"/>
    <w:rPr>
      <w:vertAlign w:val="superscript"/>
    </w:rPr>
  </w:style>
  <w:style w:type="character" w:customStyle="1" w:styleId="28">
    <w:name w:val="标题 1 Char"/>
    <w:basedOn w:val="25"/>
    <w:link w:val="2"/>
    <w:qFormat/>
    <w:uiPriority w:val="9"/>
    <w:rPr>
      <w:rFonts w:ascii="黑体" w:hAnsi="黑体" w:eastAsia="黑体" w:cs="Times New Roman"/>
      <w:b/>
      <w:bCs/>
      <w:kern w:val="44"/>
      <w:sz w:val="36"/>
      <w:szCs w:val="44"/>
    </w:rPr>
  </w:style>
  <w:style w:type="character" w:customStyle="1" w:styleId="29">
    <w:name w:val="标题 2 Char"/>
    <w:basedOn w:val="25"/>
    <w:link w:val="3"/>
    <w:qFormat/>
    <w:uiPriority w:val="9"/>
    <w:rPr>
      <w:rFonts w:ascii="黑体" w:hAnsi="黑体" w:eastAsia="黑体" w:cstheme="majorBidi"/>
      <w:b/>
      <w:bCs/>
      <w:kern w:val="0"/>
      <w:sz w:val="32"/>
      <w:szCs w:val="32"/>
    </w:rPr>
  </w:style>
  <w:style w:type="character" w:customStyle="1" w:styleId="30">
    <w:name w:val="标题 3 Char"/>
    <w:basedOn w:val="25"/>
    <w:link w:val="4"/>
    <w:qFormat/>
    <w:uiPriority w:val="9"/>
    <w:rPr>
      <w:rFonts w:ascii="楷体" w:hAnsi="楷体" w:eastAsia="楷体" w:cs="Times New Roman"/>
      <w:b/>
      <w:bCs/>
      <w:kern w:val="0"/>
      <w:sz w:val="32"/>
      <w:szCs w:val="32"/>
    </w:rPr>
  </w:style>
  <w:style w:type="paragraph" w:styleId="31">
    <w:name w:val="List Paragraph"/>
    <w:basedOn w:val="1"/>
    <w:qFormat/>
    <w:uiPriority w:val="34"/>
    <w:pPr>
      <w:ind w:firstLine="420"/>
    </w:pPr>
  </w:style>
  <w:style w:type="paragraph" w:styleId="32">
    <w:name w:val="No Spacing"/>
    <w:link w:val="50"/>
    <w:qFormat/>
    <w:uiPriority w:val="1"/>
    <w:pPr>
      <w:widowControl w:val="0"/>
      <w:jc w:val="center"/>
    </w:pPr>
    <w:rPr>
      <w:rFonts w:ascii="仿宋_GB2312" w:hAnsi="仿宋" w:eastAsia="仿宋_GB2312" w:cs="Times New Roman"/>
      <w:kern w:val="0"/>
      <w:sz w:val="32"/>
      <w:szCs w:val="32"/>
      <w:lang w:val="en-US" w:eastAsia="zh-CN" w:bidi="ar-SA"/>
    </w:rPr>
  </w:style>
  <w:style w:type="character" w:customStyle="1" w:styleId="33">
    <w:name w:val="标题 4 Char"/>
    <w:basedOn w:val="25"/>
    <w:link w:val="5"/>
    <w:qFormat/>
    <w:uiPriority w:val="9"/>
    <w:rPr>
      <w:rFonts w:ascii="仿宋" w:hAnsi="仿宋" w:eastAsia="仿宋" w:cstheme="majorBidi"/>
      <w:b/>
      <w:bCs/>
      <w:kern w:val="0"/>
      <w:sz w:val="32"/>
      <w:szCs w:val="28"/>
    </w:rPr>
  </w:style>
  <w:style w:type="character" w:customStyle="1" w:styleId="34">
    <w:name w:val="页眉 Char"/>
    <w:basedOn w:val="25"/>
    <w:link w:val="15"/>
    <w:qFormat/>
    <w:uiPriority w:val="99"/>
    <w:rPr>
      <w:rFonts w:ascii="仿宋_GB2312" w:hAnsi="仿宋" w:eastAsia="仿宋_GB2312" w:cs="Times New Roman"/>
      <w:kern w:val="0"/>
      <w:sz w:val="18"/>
      <w:szCs w:val="18"/>
    </w:rPr>
  </w:style>
  <w:style w:type="character" w:customStyle="1" w:styleId="35">
    <w:name w:val="页脚 Char"/>
    <w:basedOn w:val="25"/>
    <w:link w:val="14"/>
    <w:qFormat/>
    <w:uiPriority w:val="99"/>
    <w:rPr>
      <w:rFonts w:ascii="仿宋_GB2312" w:hAnsi="仿宋" w:eastAsia="仿宋_GB2312" w:cs="Times New Roman"/>
      <w:kern w:val="0"/>
      <w:sz w:val="18"/>
      <w:szCs w:val="18"/>
    </w:rPr>
  </w:style>
  <w:style w:type="character" w:customStyle="1" w:styleId="36">
    <w:name w:val="脚注文本 Char"/>
    <w:basedOn w:val="25"/>
    <w:link w:val="18"/>
    <w:qFormat/>
    <w:uiPriority w:val="99"/>
    <w:rPr>
      <w:rFonts w:ascii="仿宋_GB2312" w:hAnsi="仿宋" w:eastAsia="仿宋_GB2312" w:cs="Times New Roman"/>
      <w:kern w:val="0"/>
      <w:sz w:val="18"/>
      <w:szCs w:val="18"/>
    </w:rPr>
  </w:style>
  <w:style w:type="character" w:customStyle="1" w:styleId="37">
    <w:name w:val="fontstyle01"/>
    <w:basedOn w:val="25"/>
    <w:qFormat/>
    <w:uiPriority w:val="0"/>
    <w:rPr>
      <w:rFonts w:hint="eastAsia" w:ascii="仿宋_GB2312" w:eastAsia="仿宋_GB2312"/>
      <w:color w:val="000000"/>
      <w:sz w:val="32"/>
      <w:szCs w:val="32"/>
    </w:rPr>
  </w:style>
  <w:style w:type="character" w:customStyle="1" w:styleId="38">
    <w:name w:val="fontstyle21"/>
    <w:basedOn w:val="25"/>
    <w:qFormat/>
    <w:uiPriority w:val="0"/>
    <w:rPr>
      <w:rFonts w:hint="default" w:ascii="TimesNewRomanPSMT" w:hAnsi="TimesNewRomanPSMT"/>
      <w:color w:val="000000"/>
      <w:sz w:val="32"/>
      <w:szCs w:val="32"/>
    </w:rPr>
  </w:style>
  <w:style w:type="character" w:customStyle="1" w:styleId="39">
    <w:name w:val="fontstyle11"/>
    <w:basedOn w:val="25"/>
    <w:qFormat/>
    <w:uiPriority w:val="0"/>
    <w:rPr>
      <w:rFonts w:hint="default" w:ascii="TimesNewRomanPSMT" w:hAnsi="TimesNewRomanPSMT"/>
      <w:color w:val="000000"/>
      <w:sz w:val="32"/>
      <w:szCs w:val="32"/>
    </w:rPr>
  </w:style>
  <w:style w:type="character" w:customStyle="1" w:styleId="40">
    <w:name w:val="批注框文本 Char"/>
    <w:basedOn w:val="25"/>
    <w:link w:val="13"/>
    <w:semiHidden/>
    <w:qFormat/>
    <w:uiPriority w:val="99"/>
    <w:rPr>
      <w:rFonts w:ascii="仿宋_GB2312" w:hAnsi="仿宋" w:eastAsia="仿宋_GB2312" w:cs="Times New Roman"/>
      <w:kern w:val="0"/>
      <w:sz w:val="18"/>
      <w:szCs w:val="18"/>
    </w:rPr>
  </w:style>
  <w:style w:type="character" w:customStyle="1" w:styleId="41">
    <w:name w:val="正文文本 Char"/>
    <w:basedOn w:val="25"/>
    <w:link w:val="9"/>
    <w:qFormat/>
    <w:uiPriority w:val="99"/>
    <w:rPr>
      <w:rFonts w:ascii="仿宋" w:hAnsi="仿宋" w:eastAsia="宋体" w:cs="Times New Roman"/>
      <w:sz w:val="24"/>
      <w:szCs w:val="24"/>
    </w:rPr>
  </w:style>
  <w:style w:type="paragraph" w:customStyle="1" w:styleId="42">
    <w:name w:val="表格文字-居中"/>
    <w:basedOn w:val="32"/>
    <w:qFormat/>
    <w:uiPriority w:val="0"/>
    <w:pPr>
      <w:spacing w:line="320" w:lineRule="exact"/>
    </w:pPr>
    <w:rPr>
      <w:rFonts w:ascii="Times New Roman" w:hAnsi="Times New Roman" w:eastAsia="宋体"/>
      <w:sz w:val="21"/>
      <w:szCs w:val="21"/>
    </w:rPr>
  </w:style>
  <w:style w:type="paragraph" w:customStyle="1" w:styleId="43">
    <w:name w:val="列出段落1"/>
    <w:basedOn w:val="1"/>
    <w:qFormat/>
    <w:uiPriority w:val="34"/>
    <w:pPr>
      <w:spacing w:before="0" w:beforeLines="0" w:line="360" w:lineRule="auto"/>
      <w:ind w:firstLine="420"/>
    </w:pPr>
    <w:rPr>
      <w:rFonts w:ascii="仿宋" w:eastAsia="宋体"/>
      <w:kern w:val="2"/>
      <w:sz w:val="24"/>
      <w:szCs w:val="24"/>
    </w:rPr>
  </w:style>
  <w:style w:type="character" w:customStyle="1" w:styleId="44">
    <w:name w:val="批注文字 Char"/>
    <w:basedOn w:val="25"/>
    <w:link w:val="8"/>
    <w:qFormat/>
    <w:uiPriority w:val="99"/>
  </w:style>
  <w:style w:type="character" w:customStyle="1" w:styleId="45">
    <w:name w:val="批注文字 字符1"/>
    <w:basedOn w:val="25"/>
    <w:semiHidden/>
    <w:qFormat/>
    <w:uiPriority w:val="99"/>
    <w:rPr>
      <w:rFonts w:ascii="仿宋_GB2312" w:hAnsi="仿宋" w:eastAsia="仿宋_GB2312" w:cs="Times New Roman"/>
      <w:kern w:val="0"/>
      <w:sz w:val="32"/>
      <w:szCs w:val="32"/>
    </w:rPr>
  </w:style>
  <w:style w:type="paragraph" w:customStyle="1" w:styleId="46">
    <w:name w:val="_Style 13"/>
    <w:basedOn w:val="1"/>
    <w:qFormat/>
    <w:uiPriority w:val="0"/>
    <w:pPr>
      <w:widowControl/>
      <w:spacing w:before="0" w:beforeLines="0" w:after="160" w:line="240" w:lineRule="exact"/>
      <w:ind w:firstLine="0" w:firstLineChars="0"/>
      <w:jc w:val="left"/>
    </w:pPr>
    <w:rPr>
      <w:rFonts w:ascii="Times New Roman" w:hAnsi="Times New Roman" w:eastAsia="宋体"/>
      <w:kern w:val="2"/>
      <w:sz w:val="21"/>
      <w:szCs w:val="24"/>
    </w:rPr>
  </w:style>
  <w:style w:type="paragraph" w:customStyle="1" w:styleId="47">
    <w:name w:val="Revision"/>
    <w:hidden/>
    <w:semiHidden/>
    <w:qFormat/>
    <w:uiPriority w:val="99"/>
    <w:rPr>
      <w:rFonts w:ascii="仿宋_GB2312" w:hAnsi="仿宋" w:eastAsia="仿宋_GB2312" w:cs="Times New Roman"/>
      <w:kern w:val="0"/>
      <w:sz w:val="32"/>
      <w:szCs w:val="32"/>
      <w:lang w:val="en-US" w:eastAsia="zh-CN" w:bidi="ar-SA"/>
    </w:rPr>
  </w:style>
  <w:style w:type="paragraph" w:customStyle="1" w:styleId="48">
    <w:name w:val="图名"/>
    <w:basedOn w:val="32"/>
    <w:link w:val="49"/>
    <w:qFormat/>
    <w:uiPriority w:val="0"/>
    <w:rPr>
      <w:rFonts w:ascii="黑体" w:hAnsi="黑体" w:eastAsia="黑体"/>
      <w:sz w:val="24"/>
      <w:szCs w:val="21"/>
    </w:rPr>
  </w:style>
  <w:style w:type="character" w:customStyle="1" w:styleId="49">
    <w:name w:val="图名 字符"/>
    <w:basedOn w:val="25"/>
    <w:link w:val="48"/>
    <w:qFormat/>
    <w:uiPriority w:val="0"/>
    <w:rPr>
      <w:rFonts w:ascii="黑体" w:hAnsi="黑体" w:eastAsia="黑体" w:cs="Times New Roman"/>
      <w:kern w:val="0"/>
      <w:sz w:val="24"/>
      <w:szCs w:val="21"/>
    </w:rPr>
  </w:style>
  <w:style w:type="character" w:customStyle="1" w:styleId="50">
    <w:name w:val="无间隔 Char"/>
    <w:basedOn w:val="25"/>
    <w:link w:val="32"/>
    <w:qFormat/>
    <w:uiPriority w:val="1"/>
    <w:rPr>
      <w:rFonts w:ascii="仿宋_GB2312" w:hAnsi="仿宋" w:eastAsia="仿宋_GB2312" w:cs="Times New Roman"/>
      <w:kern w:val="0"/>
      <w:sz w:val="32"/>
      <w:szCs w:val="32"/>
    </w:rPr>
  </w:style>
  <w:style w:type="paragraph" w:customStyle="1" w:styleId="51">
    <w:name w:val="表格文字"/>
    <w:basedOn w:val="1"/>
    <w:qFormat/>
    <w:uiPriority w:val="0"/>
    <w:pPr>
      <w:spacing w:before="0" w:beforeLines="0" w:line="240" w:lineRule="auto"/>
      <w:ind w:firstLine="0" w:firstLineChars="0"/>
      <w:jc w:val="center"/>
    </w:pPr>
    <w:rPr>
      <w:rFonts w:hAnsi="仿宋_GB2312" w:eastAsia="宋体"/>
      <w:kern w:val="2"/>
      <w:sz w:val="21"/>
      <w:szCs w:val="22"/>
    </w:rPr>
  </w:style>
  <w:style w:type="table" w:customStyle="1" w:styleId="52">
    <w:name w:val="网格型1"/>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
    <w:name w:val="网格型3"/>
    <w:basedOn w:val="23"/>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4">
    <w:name w:val="网格型4"/>
    <w:basedOn w:val="23"/>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6860</Words>
  <Characters>39104</Characters>
  <Lines>325</Lines>
  <Paragraphs>91</Paragraphs>
  <TotalTime>533</TotalTime>
  <ScaleCrop>false</ScaleCrop>
  <LinksUpToDate>false</LinksUpToDate>
  <CharactersWithSpaces>45873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2022-05-12T18:50:00Z</dcterms:created>
  <dc:creator>chen ye</dc:creator>
  <cp:lastModifiedBy>quzhou</cp:lastModifiedBy>
  <cp:lastPrinted>2022-05-30T17:26:00Z</cp:lastPrinted>
  <dcterms:modified xsi:type="dcterms:W3CDTF">2022-12-09T14:07:47Z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